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60E" w:rsidRPr="00D65F57" w:rsidRDefault="00ED460E">
      <w:pPr>
        <w:rPr>
          <w:b/>
          <w:sz w:val="32"/>
          <w:szCs w:val="32"/>
        </w:rPr>
      </w:pPr>
    </w:p>
    <w:p w:rsidR="00ED460E" w:rsidRPr="00D65F57" w:rsidRDefault="00ED460E">
      <w:pPr>
        <w:rPr>
          <w:b/>
          <w:sz w:val="32"/>
          <w:szCs w:val="32"/>
        </w:rPr>
      </w:pPr>
    </w:p>
    <w:p w:rsidR="00ED460E" w:rsidRPr="00D65F57" w:rsidRDefault="00ED460E">
      <w:pPr>
        <w:rPr>
          <w:b/>
          <w:sz w:val="32"/>
          <w:szCs w:val="32"/>
        </w:rPr>
      </w:pPr>
    </w:p>
    <w:p w:rsidR="00ED460E" w:rsidRPr="00D65F57" w:rsidRDefault="00ED460E">
      <w:pPr>
        <w:rPr>
          <w:b/>
          <w:sz w:val="32"/>
          <w:szCs w:val="32"/>
        </w:rPr>
      </w:pPr>
    </w:p>
    <w:p w:rsidR="00ED460E" w:rsidRPr="00D65F57" w:rsidRDefault="00ED460E">
      <w:pPr>
        <w:rPr>
          <w:b/>
          <w:sz w:val="32"/>
          <w:szCs w:val="32"/>
        </w:rPr>
      </w:pPr>
    </w:p>
    <w:p w:rsidR="00ED460E" w:rsidRPr="00D65F57" w:rsidRDefault="00ED460E">
      <w:pPr>
        <w:rPr>
          <w:b/>
          <w:sz w:val="32"/>
          <w:szCs w:val="32"/>
        </w:rPr>
      </w:pPr>
    </w:p>
    <w:p w:rsidR="00ED460E" w:rsidRPr="00D65F57" w:rsidRDefault="00ED460E">
      <w:pPr>
        <w:rPr>
          <w:b/>
          <w:sz w:val="32"/>
          <w:szCs w:val="32"/>
        </w:rPr>
      </w:pPr>
    </w:p>
    <w:tbl>
      <w:tblPr>
        <w:tblStyle w:val="Tabellenraster"/>
        <w:tblW w:w="0" w:type="auto"/>
        <w:tblLook w:val="01E0" w:firstRow="1" w:lastRow="1" w:firstColumn="1" w:lastColumn="1" w:noHBand="0" w:noVBand="0"/>
      </w:tblPr>
      <w:tblGrid>
        <w:gridCol w:w="9014"/>
      </w:tblGrid>
      <w:tr w:rsidR="00ED460E" w:rsidTr="00ED460E">
        <w:trPr>
          <w:trHeight w:val="1077"/>
        </w:trPr>
        <w:tc>
          <w:tcPr>
            <w:tcW w:w="9014" w:type="dxa"/>
          </w:tcPr>
          <w:p w:rsidR="00ED460E" w:rsidRDefault="00ED460E" w:rsidP="00ED460E">
            <w:pPr>
              <w:pStyle w:val="Formulartitel"/>
              <w:rPr>
                <w:sz w:val="32"/>
                <w:szCs w:val="32"/>
              </w:rPr>
            </w:pPr>
            <w:bookmarkStart w:id="0" w:name="BkMod_001"/>
            <w:r w:rsidRPr="00D65F57">
              <w:rPr>
                <w:sz w:val="32"/>
                <w:szCs w:val="32"/>
                <w:highlight w:val="lightGray"/>
              </w:rPr>
              <w:t>Muster-Vollzugsverordnung</w:t>
            </w:r>
            <w:r w:rsidR="00D65F57" w:rsidRPr="00D65F57">
              <w:rPr>
                <w:sz w:val="32"/>
                <w:szCs w:val="32"/>
                <w:highlight w:val="lightGray"/>
              </w:rPr>
              <w:t xml:space="preserve"> </w:t>
            </w:r>
            <w:r w:rsidRPr="00D65F57">
              <w:rPr>
                <w:sz w:val="32"/>
                <w:szCs w:val="32"/>
                <w:highlight w:val="lightGray"/>
              </w:rPr>
              <w:t>zum Abwasserreglement (VAR)</w:t>
            </w:r>
            <w:r w:rsidR="00D65F57" w:rsidRPr="00D65F57">
              <w:rPr>
                <w:sz w:val="32"/>
                <w:szCs w:val="32"/>
                <w:highlight w:val="lightGray"/>
              </w:rPr>
              <w:t xml:space="preserve"> des Kantons Zug</w:t>
            </w:r>
          </w:p>
          <w:p w:rsidR="00ED460E" w:rsidRDefault="00ED460E" w:rsidP="00ED460E">
            <w:pPr>
              <w:pStyle w:val="Formulartitel"/>
              <w:rPr>
                <w:sz w:val="32"/>
                <w:szCs w:val="32"/>
              </w:rPr>
            </w:pPr>
          </w:p>
          <w:p w:rsidR="00D65F57" w:rsidRDefault="00D65F57" w:rsidP="00ED460E">
            <w:pPr>
              <w:pStyle w:val="Formulartitel"/>
              <w:rPr>
                <w:sz w:val="32"/>
                <w:szCs w:val="32"/>
              </w:rPr>
            </w:pPr>
          </w:p>
          <w:p w:rsidR="00D65F57" w:rsidRDefault="00D65F57" w:rsidP="00ED460E">
            <w:pPr>
              <w:pStyle w:val="Formulartitel"/>
              <w:rPr>
                <w:sz w:val="32"/>
                <w:szCs w:val="32"/>
              </w:rPr>
            </w:pPr>
          </w:p>
          <w:p w:rsidR="00D65F57" w:rsidRDefault="00D65F57" w:rsidP="00ED460E">
            <w:pPr>
              <w:pStyle w:val="Formulartitel"/>
              <w:rPr>
                <w:sz w:val="32"/>
                <w:szCs w:val="32"/>
              </w:rPr>
            </w:pPr>
          </w:p>
          <w:p w:rsidR="00D65F57" w:rsidRDefault="00D65F57" w:rsidP="00ED460E">
            <w:pPr>
              <w:pStyle w:val="Formulartitel"/>
              <w:rPr>
                <w:sz w:val="32"/>
                <w:szCs w:val="32"/>
              </w:rPr>
            </w:pPr>
          </w:p>
          <w:p w:rsidR="00D65F57" w:rsidRDefault="00D65F57" w:rsidP="00ED460E">
            <w:pPr>
              <w:pStyle w:val="Formulartitel"/>
              <w:rPr>
                <w:sz w:val="32"/>
                <w:szCs w:val="32"/>
              </w:rPr>
            </w:pPr>
          </w:p>
          <w:p w:rsidR="00ED460E" w:rsidRDefault="00D65F57" w:rsidP="00ED460E">
            <w:pPr>
              <w:pStyle w:val="Formulartitel"/>
              <w:rPr>
                <w:sz w:val="32"/>
                <w:szCs w:val="32"/>
                <w:highlight w:val="lightGray"/>
              </w:rPr>
            </w:pPr>
            <w:r>
              <w:rPr>
                <w:sz w:val="32"/>
                <w:szCs w:val="32"/>
              </w:rPr>
              <w:t xml:space="preserve">Vollzugsverordnung zum Abwasserreglement (VAR) </w:t>
            </w:r>
            <w:r>
              <w:rPr>
                <w:sz w:val="32"/>
                <w:szCs w:val="32"/>
              </w:rPr>
              <w:br/>
            </w:r>
            <w:r w:rsidR="00ED460E">
              <w:rPr>
                <w:sz w:val="32"/>
                <w:szCs w:val="32"/>
              </w:rPr>
              <w:t xml:space="preserve">der Gemeinde </w:t>
            </w:r>
            <w:r w:rsidR="00ED460E">
              <w:rPr>
                <w:sz w:val="32"/>
                <w:szCs w:val="32"/>
                <w:highlight w:val="lightGray"/>
              </w:rPr>
              <w:t>XYZ</w:t>
            </w:r>
          </w:p>
          <w:p w:rsidR="00ED460E" w:rsidRDefault="00ED460E" w:rsidP="00ED460E">
            <w:pPr>
              <w:pStyle w:val="Formulartitel"/>
              <w:rPr>
                <w:sz w:val="32"/>
                <w:szCs w:val="32"/>
              </w:rPr>
            </w:pPr>
          </w:p>
          <w:p w:rsidR="00ED460E" w:rsidRPr="00D65F57" w:rsidRDefault="00ED460E" w:rsidP="00ED460E">
            <w:pPr>
              <w:pStyle w:val="Formulartitel"/>
              <w:rPr>
                <w:sz w:val="32"/>
                <w:szCs w:val="32"/>
              </w:rPr>
            </w:pPr>
            <w:r>
              <w:rPr>
                <w:sz w:val="32"/>
                <w:szCs w:val="32"/>
              </w:rPr>
              <w:t xml:space="preserve">vom </w:t>
            </w:r>
            <w:r>
              <w:rPr>
                <w:sz w:val="32"/>
                <w:szCs w:val="32"/>
                <w:highlight w:val="lightGray"/>
              </w:rPr>
              <w:t>tt.mm.jjjj</w:t>
            </w:r>
          </w:p>
        </w:tc>
      </w:tr>
      <w:tr w:rsidR="00ED460E" w:rsidTr="00ED460E">
        <w:trPr>
          <w:trHeight w:val="3175"/>
        </w:trPr>
        <w:tc>
          <w:tcPr>
            <w:tcW w:w="9014" w:type="dxa"/>
          </w:tcPr>
          <w:p w:rsidR="00ED460E" w:rsidRDefault="00ED460E" w:rsidP="00ED460E"/>
        </w:tc>
      </w:tr>
      <w:tr w:rsidR="00ED460E" w:rsidTr="00ED460E">
        <w:trPr>
          <w:trHeight w:val="454"/>
        </w:trPr>
        <w:tc>
          <w:tcPr>
            <w:tcW w:w="9014" w:type="dxa"/>
          </w:tcPr>
          <w:p w:rsidR="00ED460E" w:rsidRDefault="00ED460E" w:rsidP="00ED460E"/>
        </w:tc>
      </w:tr>
    </w:tbl>
    <w:p w:rsidR="00D65F57" w:rsidRDefault="00D65F57" w:rsidP="00ED460E">
      <w:pPr>
        <w:rPr>
          <w:sz w:val="32"/>
          <w:szCs w:val="32"/>
          <w:highlight w:val="lightGray"/>
        </w:rPr>
      </w:pPr>
    </w:p>
    <w:p w:rsidR="00D65F57" w:rsidRDefault="00D65F57" w:rsidP="00ED460E">
      <w:pPr>
        <w:rPr>
          <w:sz w:val="32"/>
          <w:szCs w:val="32"/>
          <w:highlight w:val="lightGray"/>
        </w:rPr>
      </w:pPr>
    </w:p>
    <w:p w:rsidR="00D65F57" w:rsidRDefault="00D65F57" w:rsidP="00ED460E">
      <w:pPr>
        <w:rPr>
          <w:sz w:val="32"/>
          <w:szCs w:val="32"/>
          <w:highlight w:val="lightGray"/>
        </w:rPr>
      </w:pPr>
    </w:p>
    <w:p w:rsidR="00D65F57" w:rsidRDefault="00D65F57" w:rsidP="00ED460E">
      <w:pPr>
        <w:rPr>
          <w:sz w:val="32"/>
          <w:szCs w:val="32"/>
          <w:highlight w:val="lightGray"/>
        </w:rPr>
      </w:pPr>
    </w:p>
    <w:p w:rsidR="00ED460E" w:rsidRPr="00ED460E" w:rsidRDefault="00ED460E" w:rsidP="00ED460E">
      <w:pPr>
        <w:rPr>
          <w:sz w:val="32"/>
          <w:szCs w:val="32"/>
        </w:rPr>
      </w:pPr>
      <w:r w:rsidRPr="00D65F57">
        <w:rPr>
          <w:sz w:val="32"/>
          <w:szCs w:val="32"/>
          <w:highlight w:val="lightGray"/>
        </w:rPr>
        <w:t>Stand: 1. Mai 2021</w:t>
      </w:r>
    </w:p>
    <w:p w:rsidR="00ED460E" w:rsidRPr="003761EF" w:rsidRDefault="00ED460E" w:rsidP="00ED460E">
      <w:pPr>
        <w:spacing w:line="0" w:lineRule="atLeast"/>
        <w:rPr>
          <w:sz w:val="2"/>
          <w:szCs w:val="2"/>
        </w:rPr>
      </w:pPr>
      <w:bookmarkStart w:id="1" w:name="BkMod_002"/>
      <w:bookmarkEnd w:id="0"/>
      <w:r>
        <w:br w:type="page"/>
      </w:r>
    </w:p>
    <w:p w:rsidR="00ED460E" w:rsidRDefault="00ED460E" w:rsidP="00ED460E">
      <w:pPr>
        <w:pStyle w:val="Betreff"/>
        <w:rPr>
          <w:lang w:val="fr-CH"/>
        </w:rPr>
      </w:pPr>
      <w:bookmarkStart w:id="2" w:name="BkMod_005"/>
      <w:bookmarkEnd w:id="1"/>
      <w:r w:rsidRPr="00E81944">
        <w:rPr>
          <w:lang w:val="fr-CH"/>
        </w:rPr>
        <w:lastRenderedPageBreak/>
        <w:t>Inhalt</w:t>
      </w:r>
      <w:r>
        <w:rPr>
          <w:lang w:val="fr-CH"/>
        </w:rPr>
        <w:t>sverzeichnis</w:t>
      </w:r>
    </w:p>
    <w:p w:rsidR="00EF5B85" w:rsidRPr="00E81944" w:rsidRDefault="00EF5B85" w:rsidP="00ED460E">
      <w:pPr>
        <w:pStyle w:val="Betreff"/>
        <w:rPr>
          <w:lang w:val="fr-CH"/>
        </w:rPr>
      </w:pPr>
    </w:p>
    <w:p w:rsidR="00817244" w:rsidRDefault="00ED460E" w:rsidP="00817244">
      <w:pPr>
        <w:pStyle w:val="Verzeichnis2"/>
        <w:rPr>
          <w:rFonts w:asciiTheme="minorHAnsi" w:eastAsiaTheme="minorEastAsia" w:hAnsiTheme="minorHAnsi" w:cstheme="minorBidi"/>
          <w:noProof/>
          <w:spacing w:val="0"/>
          <w:sz w:val="22"/>
          <w:szCs w:val="22"/>
        </w:rPr>
      </w:pPr>
      <w:r w:rsidRPr="003D2954">
        <w:rPr>
          <w:noProof/>
        </w:rPr>
        <w:fldChar w:fldCharType="begin"/>
      </w:r>
      <w:r w:rsidRPr="003D2954">
        <w:rPr>
          <w:lang w:val="fr-CH"/>
        </w:rPr>
        <w:instrText xml:space="preserve"> TOC \o "1-5" \h \z \u </w:instrText>
      </w:r>
      <w:r w:rsidRPr="003D2954">
        <w:rPr>
          <w:noProof/>
        </w:rPr>
        <w:fldChar w:fldCharType="separate"/>
      </w:r>
      <w:hyperlink w:anchor="_Toc71879410" w:history="1">
        <w:r w:rsidR="00817244" w:rsidRPr="00356AE0">
          <w:rPr>
            <w:rStyle w:val="Hyperlink"/>
            <w:noProof/>
          </w:rPr>
          <w:t>Art. 1</w:t>
        </w:r>
        <w:r w:rsidR="00817244">
          <w:rPr>
            <w:rFonts w:asciiTheme="minorHAnsi" w:eastAsiaTheme="minorEastAsia" w:hAnsiTheme="minorHAnsi" w:cstheme="minorBidi"/>
            <w:noProof/>
            <w:spacing w:val="0"/>
            <w:sz w:val="22"/>
            <w:szCs w:val="22"/>
          </w:rPr>
          <w:tab/>
        </w:r>
        <w:r w:rsidR="00817244" w:rsidRPr="00356AE0">
          <w:rPr>
            <w:rStyle w:val="Hyperlink"/>
            <w:noProof/>
          </w:rPr>
          <w:t>Zweck</w:t>
        </w:r>
        <w:r w:rsidR="00817244">
          <w:rPr>
            <w:noProof/>
            <w:webHidden/>
          </w:rPr>
          <w:tab/>
        </w:r>
        <w:r w:rsidR="00817244">
          <w:rPr>
            <w:noProof/>
            <w:webHidden/>
          </w:rPr>
          <w:fldChar w:fldCharType="begin"/>
        </w:r>
        <w:r w:rsidR="00817244">
          <w:rPr>
            <w:noProof/>
            <w:webHidden/>
          </w:rPr>
          <w:instrText xml:space="preserve"> PAGEREF _Toc71879410 \h </w:instrText>
        </w:r>
        <w:r w:rsidR="00817244">
          <w:rPr>
            <w:noProof/>
            <w:webHidden/>
          </w:rPr>
        </w:r>
        <w:r w:rsidR="00817244">
          <w:rPr>
            <w:noProof/>
            <w:webHidden/>
          </w:rPr>
          <w:fldChar w:fldCharType="separate"/>
        </w:r>
        <w:r w:rsidR="00817244">
          <w:rPr>
            <w:noProof/>
            <w:webHidden/>
          </w:rPr>
          <w:t>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1" w:history="1">
        <w:r w:rsidR="00817244" w:rsidRPr="00356AE0">
          <w:rPr>
            <w:rStyle w:val="Hyperlink"/>
            <w:noProof/>
          </w:rPr>
          <w:t>Art. 2</w:t>
        </w:r>
        <w:r w:rsidR="00817244">
          <w:rPr>
            <w:rFonts w:asciiTheme="minorHAnsi" w:eastAsiaTheme="minorEastAsia" w:hAnsiTheme="minorHAnsi" w:cstheme="minorBidi"/>
            <w:noProof/>
            <w:spacing w:val="0"/>
            <w:sz w:val="22"/>
            <w:szCs w:val="22"/>
          </w:rPr>
          <w:tab/>
        </w:r>
        <w:r w:rsidR="00817244" w:rsidRPr="00356AE0">
          <w:rPr>
            <w:rStyle w:val="Hyperlink"/>
            <w:noProof/>
          </w:rPr>
          <w:t>Grundsätze</w:t>
        </w:r>
        <w:r w:rsidR="00817244">
          <w:rPr>
            <w:noProof/>
            <w:webHidden/>
          </w:rPr>
          <w:tab/>
        </w:r>
        <w:r w:rsidR="00817244">
          <w:rPr>
            <w:noProof/>
            <w:webHidden/>
          </w:rPr>
          <w:fldChar w:fldCharType="begin"/>
        </w:r>
        <w:r w:rsidR="00817244">
          <w:rPr>
            <w:noProof/>
            <w:webHidden/>
          </w:rPr>
          <w:instrText xml:space="preserve"> PAGEREF _Toc71879411 \h </w:instrText>
        </w:r>
        <w:r w:rsidR="00817244">
          <w:rPr>
            <w:noProof/>
            <w:webHidden/>
          </w:rPr>
        </w:r>
        <w:r w:rsidR="00817244">
          <w:rPr>
            <w:noProof/>
            <w:webHidden/>
          </w:rPr>
          <w:fldChar w:fldCharType="separate"/>
        </w:r>
        <w:r w:rsidR="00817244">
          <w:rPr>
            <w:noProof/>
            <w:webHidden/>
          </w:rPr>
          <w:t>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2" w:history="1">
        <w:r w:rsidR="00817244" w:rsidRPr="00356AE0">
          <w:rPr>
            <w:rStyle w:val="Hyperlink"/>
            <w:noProof/>
          </w:rPr>
          <w:t>Art. 3</w:t>
        </w:r>
        <w:r w:rsidR="00817244">
          <w:rPr>
            <w:rFonts w:asciiTheme="minorHAnsi" w:eastAsiaTheme="minorEastAsia" w:hAnsiTheme="minorHAnsi" w:cstheme="minorBidi"/>
            <w:noProof/>
            <w:spacing w:val="0"/>
            <w:sz w:val="22"/>
            <w:szCs w:val="22"/>
          </w:rPr>
          <w:tab/>
        </w:r>
        <w:r w:rsidR="00817244" w:rsidRPr="00356AE0">
          <w:rPr>
            <w:rStyle w:val="Hyperlink"/>
            <w:noProof/>
          </w:rPr>
          <w:t>Anschlussgebühr</w:t>
        </w:r>
        <w:r w:rsidR="00817244">
          <w:rPr>
            <w:noProof/>
            <w:webHidden/>
          </w:rPr>
          <w:tab/>
        </w:r>
        <w:r w:rsidR="00817244">
          <w:rPr>
            <w:noProof/>
            <w:webHidden/>
          </w:rPr>
          <w:fldChar w:fldCharType="begin"/>
        </w:r>
        <w:r w:rsidR="00817244">
          <w:rPr>
            <w:noProof/>
            <w:webHidden/>
          </w:rPr>
          <w:instrText xml:space="preserve"> PAGEREF _Toc71879412 \h </w:instrText>
        </w:r>
        <w:r w:rsidR="00817244">
          <w:rPr>
            <w:noProof/>
            <w:webHidden/>
          </w:rPr>
        </w:r>
        <w:r w:rsidR="00817244">
          <w:rPr>
            <w:noProof/>
            <w:webHidden/>
          </w:rPr>
          <w:fldChar w:fldCharType="separate"/>
        </w:r>
        <w:r w:rsidR="00817244">
          <w:rPr>
            <w:noProof/>
            <w:webHidden/>
          </w:rPr>
          <w:t>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3" w:history="1">
        <w:r w:rsidR="00817244" w:rsidRPr="00356AE0">
          <w:rPr>
            <w:rStyle w:val="Hyperlink"/>
            <w:noProof/>
          </w:rPr>
          <w:t>Art. 4</w:t>
        </w:r>
        <w:r w:rsidR="00817244">
          <w:rPr>
            <w:rFonts w:asciiTheme="minorHAnsi" w:eastAsiaTheme="minorEastAsia" w:hAnsiTheme="minorHAnsi" w:cstheme="minorBidi"/>
            <w:noProof/>
            <w:spacing w:val="0"/>
            <w:sz w:val="22"/>
            <w:szCs w:val="22"/>
          </w:rPr>
          <w:tab/>
        </w:r>
        <w:r w:rsidR="00817244" w:rsidRPr="00356AE0">
          <w:rPr>
            <w:rStyle w:val="Hyperlink"/>
            <w:noProof/>
          </w:rPr>
          <w:t>Betriebsgebühr</w:t>
        </w:r>
        <w:r w:rsidR="00817244">
          <w:rPr>
            <w:noProof/>
            <w:webHidden/>
          </w:rPr>
          <w:tab/>
        </w:r>
        <w:r w:rsidR="00817244">
          <w:rPr>
            <w:noProof/>
            <w:webHidden/>
          </w:rPr>
          <w:fldChar w:fldCharType="begin"/>
        </w:r>
        <w:r w:rsidR="00817244">
          <w:rPr>
            <w:noProof/>
            <w:webHidden/>
          </w:rPr>
          <w:instrText xml:space="preserve"> PAGEREF _Toc71879413 \h </w:instrText>
        </w:r>
        <w:r w:rsidR="00817244">
          <w:rPr>
            <w:noProof/>
            <w:webHidden/>
          </w:rPr>
        </w:r>
        <w:r w:rsidR="00817244">
          <w:rPr>
            <w:noProof/>
            <w:webHidden/>
          </w:rPr>
          <w:fldChar w:fldCharType="separate"/>
        </w:r>
        <w:r w:rsidR="00817244">
          <w:rPr>
            <w:noProof/>
            <w:webHidden/>
          </w:rPr>
          <w:t>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4" w:history="1">
        <w:r w:rsidR="00817244" w:rsidRPr="00356AE0">
          <w:rPr>
            <w:rStyle w:val="Hyperlink"/>
            <w:noProof/>
          </w:rPr>
          <w:t>Art. 5</w:t>
        </w:r>
        <w:r w:rsidR="00817244">
          <w:rPr>
            <w:rFonts w:asciiTheme="minorHAnsi" w:eastAsiaTheme="minorEastAsia" w:hAnsiTheme="minorHAnsi" w:cstheme="minorBidi"/>
            <w:noProof/>
            <w:spacing w:val="0"/>
            <w:sz w:val="22"/>
            <w:szCs w:val="22"/>
          </w:rPr>
          <w:tab/>
        </w:r>
        <w:r w:rsidR="00817244" w:rsidRPr="00356AE0">
          <w:rPr>
            <w:rStyle w:val="Hyperlink"/>
            <w:noProof/>
          </w:rPr>
          <w:t>Vorübergehende Anschlüsse</w:t>
        </w:r>
        <w:r w:rsidR="00817244">
          <w:rPr>
            <w:noProof/>
            <w:webHidden/>
          </w:rPr>
          <w:tab/>
        </w:r>
        <w:r w:rsidR="00817244">
          <w:rPr>
            <w:noProof/>
            <w:webHidden/>
          </w:rPr>
          <w:fldChar w:fldCharType="begin"/>
        </w:r>
        <w:r w:rsidR="00817244">
          <w:rPr>
            <w:noProof/>
            <w:webHidden/>
          </w:rPr>
          <w:instrText xml:space="preserve"> PAGEREF _Toc71879414 \h </w:instrText>
        </w:r>
        <w:r w:rsidR="00817244">
          <w:rPr>
            <w:noProof/>
            <w:webHidden/>
          </w:rPr>
        </w:r>
        <w:r w:rsidR="00817244">
          <w:rPr>
            <w:noProof/>
            <w:webHidden/>
          </w:rPr>
          <w:fldChar w:fldCharType="separate"/>
        </w:r>
        <w:r w:rsidR="00817244">
          <w:rPr>
            <w:noProof/>
            <w:webHidden/>
          </w:rPr>
          <w:t>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5" w:history="1">
        <w:r w:rsidR="00817244" w:rsidRPr="00356AE0">
          <w:rPr>
            <w:rStyle w:val="Hyperlink"/>
            <w:noProof/>
          </w:rPr>
          <w:t>Art. 6</w:t>
        </w:r>
        <w:r w:rsidR="00817244">
          <w:rPr>
            <w:rFonts w:asciiTheme="minorHAnsi" w:eastAsiaTheme="minorEastAsia" w:hAnsiTheme="minorHAnsi" w:cstheme="minorBidi"/>
            <w:noProof/>
            <w:spacing w:val="0"/>
            <w:sz w:val="22"/>
            <w:szCs w:val="22"/>
          </w:rPr>
          <w:tab/>
        </w:r>
        <w:r w:rsidR="00817244" w:rsidRPr="00356AE0">
          <w:rPr>
            <w:rStyle w:val="Hyperlink"/>
            <w:noProof/>
          </w:rPr>
          <w:t>Separate Messung nicht abgeleiteter Mengen</w:t>
        </w:r>
        <w:r w:rsidR="00817244">
          <w:rPr>
            <w:noProof/>
            <w:webHidden/>
          </w:rPr>
          <w:tab/>
        </w:r>
        <w:r w:rsidR="00817244">
          <w:rPr>
            <w:noProof/>
            <w:webHidden/>
          </w:rPr>
          <w:fldChar w:fldCharType="begin"/>
        </w:r>
        <w:r w:rsidR="00817244">
          <w:rPr>
            <w:noProof/>
            <w:webHidden/>
          </w:rPr>
          <w:instrText xml:space="preserve"> PAGEREF _Toc71879415 \h </w:instrText>
        </w:r>
        <w:r w:rsidR="00817244">
          <w:rPr>
            <w:noProof/>
            <w:webHidden/>
          </w:rPr>
        </w:r>
        <w:r w:rsidR="00817244">
          <w:rPr>
            <w:noProof/>
            <w:webHidden/>
          </w:rPr>
          <w:fldChar w:fldCharType="separate"/>
        </w:r>
        <w:r w:rsidR="00817244">
          <w:rPr>
            <w:noProof/>
            <w:webHidden/>
          </w:rPr>
          <w:t>4</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6" w:history="1">
        <w:r w:rsidR="00817244" w:rsidRPr="00356AE0">
          <w:rPr>
            <w:rStyle w:val="Hyperlink"/>
            <w:noProof/>
          </w:rPr>
          <w:t>Art. 7</w:t>
        </w:r>
        <w:r w:rsidR="00817244">
          <w:rPr>
            <w:rFonts w:asciiTheme="minorHAnsi" w:eastAsiaTheme="minorEastAsia" w:hAnsiTheme="minorHAnsi" w:cstheme="minorBidi"/>
            <w:noProof/>
            <w:spacing w:val="0"/>
            <w:sz w:val="22"/>
            <w:szCs w:val="22"/>
          </w:rPr>
          <w:tab/>
        </w:r>
        <w:r w:rsidR="00817244" w:rsidRPr="00356AE0">
          <w:rPr>
            <w:rStyle w:val="Hyperlink"/>
            <w:noProof/>
          </w:rPr>
          <w:t>Geschossigkeit</w:t>
        </w:r>
        <w:r w:rsidR="00817244">
          <w:rPr>
            <w:noProof/>
            <w:webHidden/>
          </w:rPr>
          <w:tab/>
        </w:r>
        <w:r w:rsidR="00817244">
          <w:rPr>
            <w:noProof/>
            <w:webHidden/>
          </w:rPr>
          <w:fldChar w:fldCharType="begin"/>
        </w:r>
        <w:r w:rsidR="00817244">
          <w:rPr>
            <w:noProof/>
            <w:webHidden/>
          </w:rPr>
          <w:instrText xml:space="preserve"> PAGEREF _Toc71879416 \h </w:instrText>
        </w:r>
        <w:r w:rsidR="00817244">
          <w:rPr>
            <w:noProof/>
            <w:webHidden/>
          </w:rPr>
        </w:r>
        <w:r w:rsidR="00817244">
          <w:rPr>
            <w:noProof/>
            <w:webHidden/>
          </w:rPr>
          <w:fldChar w:fldCharType="separate"/>
        </w:r>
        <w:r w:rsidR="00817244">
          <w:rPr>
            <w:noProof/>
            <w:webHidden/>
          </w:rPr>
          <w:t>4</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7" w:history="1">
        <w:r w:rsidR="00817244" w:rsidRPr="00356AE0">
          <w:rPr>
            <w:rStyle w:val="Hyperlink"/>
            <w:noProof/>
          </w:rPr>
          <w:t>Art. 8</w:t>
        </w:r>
        <w:r w:rsidR="00817244">
          <w:rPr>
            <w:rFonts w:asciiTheme="minorHAnsi" w:eastAsiaTheme="minorEastAsia" w:hAnsiTheme="minorHAnsi" w:cstheme="minorBidi"/>
            <w:noProof/>
            <w:spacing w:val="0"/>
            <w:sz w:val="22"/>
            <w:szCs w:val="22"/>
          </w:rPr>
          <w:tab/>
        </w:r>
        <w:r w:rsidR="00817244" w:rsidRPr="00356AE0">
          <w:rPr>
            <w:rStyle w:val="Hyperlink"/>
            <w:noProof/>
          </w:rPr>
          <w:t>Korrektur der Tarifzonen-Grundeinteilung</w:t>
        </w:r>
        <w:r w:rsidR="00817244">
          <w:rPr>
            <w:noProof/>
            <w:webHidden/>
          </w:rPr>
          <w:tab/>
        </w:r>
        <w:r w:rsidR="00817244">
          <w:rPr>
            <w:noProof/>
            <w:webHidden/>
          </w:rPr>
          <w:fldChar w:fldCharType="begin"/>
        </w:r>
        <w:r w:rsidR="00817244">
          <w:rPr>
            <w:noProof/>
            <w:webHidden/>
          </w:rPr>
          <w:instrText xml:space="preserve"> PAGEREF _Toc71879417 \h </w:instrText>
        </w:r>
        <w:r w:rsidR="00817244">
          <w:rPr>
            <w:noProof/>
            <w:webHidden/>
          </w:rPr>
        </w:r>
        <w:r w:rsidR="00817244">
          <w:rPr>
            <w:noProof/>
            <w:webHidden/>
          </w:rPr>
          <w:fldChar w:fldCharType="separate"/>
        </w:r>
        <w:r w:rsidR="00817244">
          <w:rPr>
            <w:noProof/>
            <w:webHidden/>
          </w:rPr>
          <w:t>5</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8" w:history="1">
        <w:r w:rsidR="00817244" w:rsidRPr="00356AE0">
          <w:rPr>
            <w:rStyle w:val="Hyperlink"/>
            <w:noProof/>
          </w:rPr>
          <w:t>Art. 9</w:t>
        </w:r>
        <w:r w:rsidR="00817244">
          <w:rPr>
            <w:rFonts w:asciiTheme="minorHAnsi" w:eastAsiaTheme="minorEastAsia" w:hAnsiTheme="minorHAnsi" w:cstheme="minorBidi"/>
            <w:noProof/>
            <w:spacing w:val="0"/>
            <w:sz w:val="22"/>
            <w:szCs w:val="22"/>
          </w:rPr>
          <w:tab/>
        </w:r>
        <w:r w:rsidR="00817244" w:rsidRPr="00356AE0">
          <w:rPr>
            <w:rStyle w:val="Hyperlink"/>
            <w:noProof/>
          </w:rPr>
          <w:t>Einleitung von Reinwasser</w:t>
        </w:r>
        <w:r w:rsidR="00817244">
          <w:rPr>
            <w:noProof/>
            <w:webHidden/>
          </w:rPr>
          <w:tab/>
        </w:r>
        <w:r w:rsidR="00817244">
          <w:rPr>
            <w:noProof/>
            <w:webHidden/>
          </w:rPr>
          <w:fldChar w:fldCharType="begin"/>
        </w:r>
        <w:r w:rsidR="00817244">
          <w:rPr>
            <w:noProof/>
            <w:webHidden/>
          </w:rPr>
          <w:instrText xml:space="preserve"> PAGEREF _Toc71879418 \h </w:instrText>
        </w:r>
        <w:r w:rsidR="00817244">
          <w:rPr>
            <w:noProof/>
            <w:webHidden/>
          </w:rPr>
        </w:r>
        <w:r w:rsidR="00817244">
          <w:rPr>
            <w:noProof/>
            <w:webHidden/>
          </w:rPr>
          <w:fldChar w:fldCharType="separate"/>
        </w:r>
        <w:r w:rsidR="00817244">
          <w:rPr>
            <w:noProof/>
            <w:webHidden/>
          </w:rPr>
          <w:t>10</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19" w:history="1">
        <w:r w:rsidR="00817244" w:rsidRPr="00356AE0">
          <w:rPr>
            <w:rStyle w:val="Hyperlink"/>
            <w:noProof/>
          </w:rPr>
          <w:t>Art. 10</w:t>
        </w:r>
        <w:r w:rsidR="00817244">
          <w:rPr>
            <w:rFonts w:asciiTheme="minorHAnsi" w:eastAsiaTheme="minorEastAsia" w:hAnsiTheme="minorHAnsi" w:cstheme="minorBidi"/>
            <w:noProof/>
            <w:spacing w:val="0"/>
            <w:sz w:val="22"/>
            <w:szCs w:val="22"/>
          </w:rPr>
          <w:tab/>
        </w:r>
        <w:r w:rsidR="00817244" w:rsidRPr="00356AE0">
          <w:rPr>
            <w:rStyle w:val="Hyperlink"/>
            <w:noProof/>
          </w:rPr>
          <w:t>Entwässerung von Baustellen</w:t>
        </w:r>
        <w:r w:rsidR="00817244">
          <w:rPr>
            <w:noProof/>
            <w:webHidden/>
          </w:rPr>
          <w:tab/>
        </w:r>
        <w:r w:rsidR="00817244">
          <w:rPr>
            <w:noProof/>
            <w:webHidden/>
          </w:rPr>
          <w:fldChar w:fldCharType="begin"/>
        </w:r>
        <w:r w:rsidR="00817244">
          <w:rPr>
            <w:noProof/>
            <w:webHidden/>
          </w:rPr>
          <w:instrText xml:space="preserve"> PAGEREF _Toc71879419 \h </w:instrText>
        </w:r>
        <w:r w:rsidR="00817244">
          <w:rPr>
            <w:noProof/>
            <w:webHidden/>
          </w:rPr>
        </w:r>
        <w:r w:rsidR="00817244">
          <w:rPr>
            <w:noProof/>
            <w:webHidden/>
          </w:rPr>
          <w:fldChar w:fldCharType="separate"/>
        </w:r>
        <w:r w:rsidR="00817244">
          <w:rPr>
            <w:noProof/>
            <w:webHidden/>
          </w:rPr>
          <w:t>10</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0" w:history="1">
        <w:r w:rsidR="00817244" w:rsidRPr="00356AE0">
          <w:rPr>
            <w:rStyle w:val="Hyperlink"/>
            <w:noProof/>
          </w:rPr>
          <w:t>Art. 11</w:t>
        </w:r>
        <w:r w:rsidR="00817244">
          <w:rPr>
            <w:rFonts w:asciiTheme="minorHAnsi" w:eastAsiaTheme="minorEastAsia" w:hAnsiTheme="minorHAnsi" w:cstheme="minorBidi"/>
            <w:noProof/>
            <w:spacing w:val="0"/>
            <w:sz w:val="22"/>
            <w:szCs w:val="22"/>
          </w:rPr>
          <w:tab/>
        </w:r>
        <w:r w:rsidR="00817244" w:rsidRPr="00356AE0">
          <w:rPr>
            <w:rStyle w:val="Hyperlink"/>
            <w:noProof/>
          </w:rPr>
          <w:t>Strassenparzellen</w:t>
        </w:r>
        <w:r w:rsidR="00817244">
          <w:rPr>
            <w:noProof/>
            <w:webHidden/>
          </w:rPr>
          <w:tab/>
        </w:r>
        <w:r w:rsidR="00817244">
          <w:rPr>
            <w:noProof/>
            <w:webHidden/>
          </w:rPr>
          <w:fldChar w:fldCharType="begin"/>
        </w:r>
        <w:r w:rsidR="00817244">
          <w:rPr>
            <w:noProof/>
            <w:webHidden/>
          </w:rPr>
          <w:instrText xml:space="preserve"> PAGEREF _Toc71879420 \h </w:instrText>
        </w:r>
        <w:r w:rsidR="00817244">
          <w:rPr>
            <w:noProof/>
            <w:webHidden/>
          </w:rPr>
        </w:r>
        <w:r w:rsidR="00817244">
          <w:rPr>
            <w:noProof/>
            <w:webHidden/>
          </w:rPr>
          <w:fldChar w:fldCharType="separate"/>
        </w:r>
        <w:r w:rsidR="00817244">
          <w:rPr>
            <w:noProof/>
            <w:webHidden/>
          </w:rPr>
          <w:t>11</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1" w:history="1">
        <w:r w:rsidR="00817244" w:rsidRPr="00356AE0">
          <w:rPr>
            <w:rStyle w:val="Hyperlink"/>
            <w:noProof/>
          </w:rPr>
          <w:t>Art. 12</w:t>
        </w:r>
        <w:r w:rsidR="00817244">
          <w:rPr>
            <w:rFonts w:asciiTheme="minorHAnsi" w:eastAsiaTheme="minorEastAsia" w:hAnsiTheme="minorHAnsi" w:cstheme="minorBidi"/>
            <w:noProof/>
            <w:spacing w:val="0"/>
            <w:sz w:val="22"/>
            <w:szCs w:val="22"/>
          </w:rPr>
          <w:tab/>
        </w:r>
        <w:r w:rsidR="00817244" w:rsidRPr="00356AE0">
          <w:rPr>
            <w:rStyle w:val="Hyperlink"/>
            <w:noProof/>
          </w:rPr>
          <w:t>Zukauf von Grundstücksflächen</w:t>
        </w:r>
        <w:r w:rsidR="00817244">
          <w:rPr>
            <w:noProof/>
            <w:webHidden/>
          </w:rPr>
          <w:tab/>
        </w:r>
        <w:r w:rsidR="00817244">
          <w:rPr>
            <w:noProof/>
            <w:webHidden/>
          </w:rPr>
          <w:fldChar w:fldCharType="begin"/>
        </w:r>
        <w:r w:rsidR="00817244">
          <w:rPr>
            <w:noProof/>
            <w:webHidden/>
          </w:rPr>
          <w:instrText xml:space="preserve"> PAGEREF _Toc71879421 \h </w:instrText>
        </w:r>
        <w:r w:rsidR="00817244">
          <w:rPr>
            <w:noProof/>
            <w:webHidden/>
          </w:rPr>
        </w:r>
        <w:r w:rsidR="00817244">
          <w:rPr>
            <w:noProof/>
            <w:webHidden/>
          </w:rPr>
          <w:fldChar w:fldCharType="separate"/>
        </w:r>
        <w:r w:rsidR="00817244">
          <w:rPr>
            <w:noProof/>
            <w:webHidden/>
          </w:rPr>
          <w:t>11</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2" w:history="1">
        <w:r w:rsidR="00817244" w:rsidRPr="00356AE0">
          <w:rPr>
            <w:rStyle w:val="Hyperlink"/>
            <w:noProof/>
          </w:rPr>
          <w:t>Art. 13</w:t>
        </w:r>
        <w:r w:rsidR="00817244">
          <w:rPr>
            <w:rFonts w:asciiTheme="minorHAnsi" w:eastAsiaTheme="minorEastAsia" w:hAnsiTheme="minorHAnsi" w:cstheme="minorBidi"/>
            <w:noProof/>
            <w:spacing w:val="0"/>
            <w:sz w:val="22"/>
            <w:szCs w:val="22"/>
          </w:rPr>
          <w:tab/>
        </w:r>
        <w:r w:rsidR="00817244" w:rsidRPr="00356AE0">
          <w:rPr>
            <w:rStyle w:val="Hyperlink"/>
            <w:noProof/>
          </w:rPr>
          <w:t>Gebührenpflichtige Fläche für Ausnahmefälle</w:t>
        </w:r>
        <w:r w:rsidR="00817244">
          <w:rPr>
            <w:noProof/>
            <w:webHidden/>
          </w:rPr>
          <w:tab/>
        </w:r>
        <w:r w:rsidR="00817244">
          <w:rPr>
            <w:noProof/>
            <w:webHidden/>
          </w:rPr>
          <w:fldChar w:fldCharType="begin"/>
        </w:r>
        <w:r w:rsidR="00817244">
          <w:rPr>
            <w:noProof/>
            <w:webHidden/>
          </w:rPr>
          <w:instrText xml:space="preserve"> PAGEREF _Toc71879422 \h </w:instrText>
        </w:r>
        <w:r w:rsidR="00817244">
          <w:rPr>
            <w:noProof/>
            <w:webHidden/>
          </w:rPr>
        </w:r>
        <w:r w:rsidR="00817244">
          <w:rPr>
            <w:noProof/>
            <w:webHidden/>
          </w:rPr>
          <w:fldChar w:fldCharType="separate"/>
        </w:r>
        <w:r w:rsidR="00817244">
          <w:rPr>
            <w:noProof/>
            <w:webHidden/>
          </w:rPr>
          <w:t>12</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3" w:history="1">
        <w:r w:rsidR="00817244" w:rsidRPr="00356AE0">
          <w:rPr>
            <w:rStyle w:val="Hyperlink"/>
            <w:noProof/>
          </w:rPr>
          <w:t>Art. 14</w:t>
        </w:r>
        <w:r w:rsidR="00817244">
          <w:rPr>
            <w:rFonts w:asciiTheme="minorHAnsi" w:eastAsiaTheme="minorEastAsia" w:hAnsiTheme="minorHAnsi" w:cstheme="minorBidi"/>
            <w:noProof/>
            <w:spacing w:val="0"/>
            <w:sz w:val="22"/>
            <w:szCs w:val="22"/>
          </w:rPr>
          <w:tab/>
        </w:r>
        <w:r w:rsidR="00817244" w:rsidRPr="00356AE0">
          <w:rPr>
            <w:rStyle w:val="Hyperlink"/>
            <w:noProof/>
          </w:rPr>
          <w:t>Anschlussgebühren für mitprofitierende Flächen</w:t>
        </w:r>
        <w:r w:rsidR="00817244">
          <w:rPr>
            <w:noProof/>
            <w:webHidden/>
          </w:rPr>
          <w:tab/>
        </w:r>
        <w:r w:rsidR="00817244">
          <w:rPr>
            <w:noProof/>
            <w:webHidden/>
          </w:rPr>
          <w:fldChar w:fldCharType="begin"/>
        </w:r>
        <w:r w:rsidR="00817244">
          <w:rPr>
            <w:noProof/>
            <w:webHidden/>
          </w:rPr>
          <w:instrText xml:space="preserve"> PAGEREF _Toc71879423 \h </w:instrText>
        </w:r>
        <w:r w:rsidR="00817244">
          <w:rPr>
            <w:noProof/>
            <w:webHidden/>
          </w:rPr>
        </w:r>
        <w:r w:rsidR="00817244">
          <w:rPr>
            <w:noProof/>
            <w:webHidden/>
          </w:rPr>
          <w:fldChar w:fldCharType="separate"/>
        </w:r>
        <w:r w:rsidR="00817244">
          <w:rPr>
            <w:noProof/>
            <w:webHidden/>
          </w:rPr>
          <w:t>13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4" w:history="1">
        <w:r w:rsidR="00817244" w:rsidRPr="00356AE0">
          <w:rPr>
            <w:rStyle w:val="Hyperlink"/>
            <w:noProof/>
          </w:rPr>
          <w:t>Art. 15</w:t>
        </w:r>
        <w:r w:rsidR="00817244">
          <w:rPr>
            <w:rFonts w:asciiTheme="minorHAnsi" w:eastAsiaTheme="minorEastAsia" w:hAnsiTheme="minorHAnsi" w:cstheme="minorBidi"/>
            <w:noProof/>
            <w:spacing w:val="0"/>
            <w:sz w:val="22"/>
            <w:szCs w:val="22"/>
          </w:rPr>
          <w:tab/>
        </w:r>
        <w:r w:rsidR="00817244" w:rsidRPr="00356AE0">
          <w:rPr>
            <w:rStyle w:val="Hyperlink"/>
            <w:noProof/>
          </w:rPr>
          <w:t>Regenwasserentsorgung ausserhalb Siedlungsgebiet</w:t>
        </w:r>
        <w:r w:rsidR="00817244">
          <w:rPr>
            <w:noProof/>
            <w:webHidden/>
          </w:rPr>
          <w:tab/>
        </w:r>
        <w:r w:rsidR="00817244">
          <w:rPr>
            <w:noProof/>
            <w:webHidden/>
          </w:rPr>
          <w:fldChar w:fldCharType="begin"/>
        </w:r>
        <w:r w:rsidR="00817244">
          <w:rPr>
            <w:noProof/>
            <w:webHidden/>
          </w:rPr>
          <w:instrText xml:space="preserve"> PAGEREF _Toc71879424 \h </w:instrText>
        </w:r>
        <w:r w:rsidR="00817244">
          <w:rPr>
            <w:noProof/>
            <w:webHidden/>
          </w:rPr>
        </w:r>
        <w:r w:rsidR="00817244">
          <w:rPr>
            <w:noProof/>
            <w:webHidden/>
          </w:rPr>
          <w:fldChar w:fldCharType="separate"/>
        </w:r>
        <w:r w:rsidR="00817244">
          <w:rPr>
            <w:noProof/>
            <w:webHidden/>
          </w:rPr>
          <w:t>13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5" w:history="1">
        <w:r w:rsidR="00817244" w:rsidRPr="00356AE0">
          <w:rPr>
            <w:rStyle w:val="Hyperlink"/>
            <w:noProof/>
          </w:rPr>
          <w:t>Art. 16</w:t>
        </w:r>
        <w:r w:rsidR="00817244">
          <w:rPr>
            <w:rFonts w:asciiTheme="minorHAnsi" w:eastAsiaTheme="minorEastAsia" w:hAnsiTheme="minorHAnsi" w:cstheme="minorBidi"/>
            <w:noProof/>
            <w:spacing w:val="0"/>
            <w:sz w:val="22"/>
            <w:szCs w:val="22"/>
          </w:rPr>
          <w:tab/>
        </w:r>
        <w:r w:rsidR="00817244" w:rsidRPr="00356AE0">
          <w:rPr>
            <w:rStyle w:val="Hyperlink"/>
            <w:noProof/>
          </w:rPr>
          <w:t>Übernahme des Unterhalts privater Sammelleitungen</w:t>
        </w:r>
        <w:r w:rsidR="00817244">
          <w:rPr>
            <w:noProof/>
            <w:webHidden/>
          </w:rPr>
          <w:tab/>
        </w:r>
        <w:r w:rsidR="00817244">
          <w:rPr>
            <w:noProof/>
            <w:webHidden/>
          </w:rPr>
          <w:fldChar w:fldCharType="begin"/>
        </w:r>
        <w:r w:rsidR="00817244">
          <w:rPr>
            <w:noProof/>
            <w:webHidden/>
          </w:rPr>
          <w:instrText xml:space="preserve"> PAGEREF _Toc71879425 \h </w:instrText>
        </w:r>
        <w:r w:rsidR="00817244">
          <w:rPr>
            <w:noProof/>
            <w:webHidden/>
          </w:rPr>
        </w:r>
        <w:r w:rsidR="00817244">
          <w:rPr>
            <w:noProof/>
            <w:webHidden/>
          </w:rPr>
          <w:fldChar w:fldCharType="separate"/>
        </w:r>
        <w:r w:rsidR="00817244">
          <w:rPr>
            <w:noProof/>
            <w:webHidden/>
          </w:rPr>
          <w:t>13</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6" w:history="1">
        <w:r w:rsidR="00817244" w:rsidRPr="00356AE0">
          <w:rPr>
            <w:rStyle w:val="Hyperlink"/>
            <w:noProof/>
          </w:rPr>
          <w:t>Art. 17</w:t>
        </w:r>
        <w:r w:rsidR="00817244">
          <w:rPr>
            <w:rFonts w:asciiTheme="minorHAnsi" w:eastAsiaTheme="minorEastAsia" w:hAnsiTheme="minorHAnsi" w:cstheme="minorBidi"/>
            <w:noProof/>
            <w:spacing w:val="0"/>
            <w:sz w:val="22"/>
            <w:szCs w:val="22"/>
          </w:rPr>
          <w:tab/>
        </w:r>
        <w:r w:rsidR="00817244" w:rsidRPr="00356AE0">
          <w:rPr>
            <w:rStyle w:val="Hyperlink"/>
            <w:noProof/>
          </w:rPr>
          <w:t>Förderbeitrag an Erschliessung von Nichtbauzonen</w:t>
        </w:r>
        <w:r w:rsidR="00817244">
          <w:rPr>
            <w:noProof/>
            <w:webHidden/>
          </w:rPr>
          <w:tab/>
        </w:r>
        <w:r w:rsidR="00817244">
          <w:rPr>
            <w:noProof/>
            <w:webHidden/>
          </w:rPr>
          <w:fldChar w:fldCharType="begin"/>
        </w:r>
        <w:r w:rsidR="00817244">
          <w:rPr>
            <w:noProof/>
            <w:webHidden/>
          </w:rPr>
          <w:instrText xml:space="preserve"> PAGEREF _Toc71879426 \h </w:instrText>
        </w:r>
        <w:r w:rsidR="00817244">
          <w:rPr>
            <w:noProof/>
            <w:webHidden/>
          </w:rPr>
        </w:r>
        <w:r w:rsidR="00817244">
          <w:rPr>
            <w:noProof/>
            <w:webHidden/>
          </w:rPr>
          <w:fldChar w:fldCharType="separate"/>
        </w:r>
        <w:r w:rsidR="00817244">
          <w:rPr>
            <w:noProof/>
            <w:webHidden/>
          </w:rPr>
          <w:t>15</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7" w:history="1">
        <w:r w:rsidR="00817244" w:rsidRPr="00356AE0">
          <w:rPr>
            <w:rStyle w:val="Hyperlink"/>
            <w:noProof/>
          </w:rPr>
          <w:t>Art. 18</w:t>
        </w:r>
        <w:r w:rsidR="00817244">
          <w:rPr>
            <w:rFonts w:asciiTheme="minorHAnsi" w:eastAsiaTheme="minorEastAsia" w:hAnsiTheme="minorHAnsi" w:cstheme="minorBidi"/>
            <w:noProof/>
            <w:spacing w:val="0"/>
            <w:sz w:val="22"/>
            <w:szCs w:val="22"/>
          </w:rPr>
          <w:tab/>
        </w:r>
        <w:r w:rsidR="00817244" w:rsidRPr="00356AE0">
          <w:rPr>
            <w:rStyle w:val="Hyperlink"/>
            <w:noProof/>
          </w:rPr>
          <w:t>Starkverschmutzer / Grosseinleiter</w:t>
        </w:r>
        <w:r w:rsidR="00817244">
          <w:rPr>
            <w:noProof/>
            <w:webHidden/>
          </w:rPr>
          <w:tab/>
        </w:r>
        <w:r w:rsidR="00817244">
          <w:rPr>
            <w:noProof/>
            <w:webHidden/>
          </w:rPr>
          <w:fldChar w:fldCharType="begin"/>
        </w:r>
        <w:r w:rsidR="00817244">
          <w:rPr>
            <w:noProof/>
            <w:webHidden/>
          </w:rPr>
          <w:instrText xml:space="preserve"> PAGEREF _Toc71879427 \h </w:instrText>
        </w:r>
        <w:r w:rsidR="00817244">
          <w:rPr>
            <w:noProof/>
            <w:webHidden/>
          </w:rPr>
        </w:r>
        <w:r w:rsidR="00817244">
          <w:rPr>
            <w:noProof/>
            <w:webHidden/>
          </w:rPr>
          <w:fldChar w:fldCharType="separate"/>
        </w:r>
        <w:r w:rsidR="00817244">
          <w:rPr>
            <w:noProof/>
            <w:webHidden/>
          </w:rPr>
          <w:t>15</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8" w:history="1">
        <w:r w:rsidR="00817244" w:rsidRPr="00356AE0">
          <w:rPr>
            <w:rStyle w:val="Hyperlink"/>
            <w:noProof/>
          </w:rPr>
          <w:t>Art. 19</w:t>
        </w:r>
        <w:r w:rsidR="00817244">
          <w:rPr>
            <w:rFonts w:asciiTheme="minorHAnsi" w:eastAsiaTheme="minorEastAsia" w:hAnsiTheme="minorHAnsi" w:cstheme="minorBidi"/>
            <w:noProof/>
            <w:spacing w:val="0"/>
            <w:sz w:val="22"/>
            <w:szCs w:val="22"/>
          </w:rPr>
          <w:tab/>
        </w:r>
        <w:r w:rsidR="00817244" w:rsidRPr="00356AE0">
          <w:rPr>
            <w:rStyle w:val="Hyperlink"/>
            <w:noProof/>
          </w:rPr>
          <w:t>Übergangsbestimmungen</w:t>
        </w:r>
        <w:r w:rsidR="00817244">
          <w:rPr>
            <w:noProof/>
            <w:webHidden/>
          </w:rPr>
          <w:tab/>
        </w:r>
        <w:r w:rsidR="00817244">
          <w:rPr>
            <w:noProof/>
            <w:webHidden/>
          </w:rPr>
          <w:fldChar w:fldCharType="begin"/>
        </w:r>
        <w:r w:rsidR="00817244">
          <w:rPr>
            <w:noProof/>
            <w:webHidden/>
          </w:rPr>
          <w:instrText xml:space="preserve"> PAGEREF _Toc71879428 \h </w:instrText>
        </w:r>
        <w:r w:rsidR="00817244">
          <w:rPr>
            <w:noProof/>
            <w:webHidden/>
          </w:rPr>
        </w:r>
        <w:r w:rsidR="00817244">
          <w:rPr>
            <w:noProof/>
            <w:webHidden/>
          </w:rPr>
          <w:fldChar w:fldCharType="separate"/>
        </w:r>
        <w:r w:rsidR="00817244">
          <w:rPr>
            <w:noProof/>
            <w:webHidden/>
          </w:rPr>
          <w:t>16</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29" w:history="1">
        <w:r w:rsidR="00817244" w:rsidRPr="00356AE0">
          <w:rPr>
            <w:rStyle w:val="Hyperlink"/>
            <w:noProof/>
          </w:rPr>
          <w:t>Art. 20</w:t>
        </w:r>
        <w:r w:rsidR="00817244">
          <w:rPr>
            <w:rFonts w:asciiTheme="minorHAnsi" w:eastAsiaTheme="minorEastAsia" w:hAnsiTheme="minorHAnsi" w:cstheme="minorBidi"/>
            <w:noProof/>
            <w:spacing w:val="0"/>
            <w:sz w:val="22"/>
            <w:szCs w:val="22"/>
          </w:rPr>
          <w:tab/>
        </w:r>
        <w:r w:rsidR="00817244" w:rsidRPr="00356AE0">
          <w:rPr>
            <w:rStyle w:val="Hyperlink"/>
            <w:noProof/>
          </w:rPr>
          <w:t>Inkrafttreten</w:t>
        </w:r>
        <w:r w:rsidR="00817244">
          <w:rPr>
            <w:noProof/>
            <w:webHidden/>
          </w:rPr>
          <w:tab/>
        </w:r>
        <w:r w:rsidR="00817244">
          <w:rPr>
            <w:noProof/>
            <w:webHidden/>
          </w:rPr>
          <w:fldChar w:fldCharType="begin"/>
        </w:r>
        <w:r w:rsidR="00817244">
          <w:rPr>
            <w:noProof/>
            <w:webHidden/>
          </w:rPr>
          <w:instrText xml:space="preserve"> PAGEREF _Toc71879429 \h </w:instrText>
        </w:r>
        <w:r w:rsidR="00817244">
          <w:rPr>
            <w:noProof/>
            <w:webHidden/>
          </w:rPr>
        </w:r>
        <w:r w:rsidR="00817244">
          <w:rPr>
            <w:noProof/>
            <w:webHidden/>
          </w:rPr>
          <w:fldChar w:fldCharType="separate"/>
        </w:r>
        <w:r w:rsidR="00817244">
          <w:rPr>
            <w:noProof/>
            <w:webHidden/>
          </w:rPr>
          <w:t>16</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30" w:history="1">
        <w:r w:rsidR="00817244" w:rsidRPr="00356AE0">
          <w:rPr>
            <w:rStyle w:val="Hyperlink"/>
            <w:noProof/>
          </w:rPr>
          <w:t>ANHANG 1: Weiterführung Bewohnbarkeitskorrekturen</w:t>
        </w:r>
        <w:r w:rsidR="00817244">
          <w:rPr>
            <w:noProof/>
            <w:webHidden/>
          </w:rPr>
          <w:tab/>
        </w:r>
        <w:r w:rsidR="00817244">
          <w:rPr>
            <w:noProof/>
            <w:webHidden/>
          </w:rPr>
          <w:fldChar w:fldCharType="begin"/>
        </w:r>
        <w:r w:rsidR="00817244">
          <w:rPr>
            <w:noProof/>
            <w:webHidden/>
          </w:rPr>
          <w:instrText xml:space="preserve"> PAGEREF _Toc71879430 \h </w:instrText>
        </w:r>
        <w:r w:rsidR="00817244">
          <w:rPr>
            <w:noProof/>
            <w:webHidden/>
          </w:rPr>
        </w:r>
        <w:r w:rsidR="00817244">
          <w:rPr>
            <w:noProof/>
            <w:webHidden/>
          </w:rPr>
          <w:fldChar w:fldCharType="separate"/>
        </w:r>
        <w:r w:rsidR="00817244">
          <w:rPr>
            <w:noProof/>
            <w:webHidden/>
          </w:rPr>
          <w:t>17</w:t>
        </w:r>
        <w:r w:rsidR="00817244">
          <w:rPr>
            <w:noProof/>
            <w:webHidden/>
          </w:rPr>
          <w:fldChar w:fldCharType="end"/>
        </w:r>
      </w:hyperlink>
    </w:p>
    <w:p w:rsidR="00817244" w:rsidRDefault="00CF07A2" w:rsidP="00817244">
      <w:pPr>
        <w:pStyle w:val="Verzeichnis2"/>
        <w:rPr>
          <w:rFonts w:asciiTheme="minorHAnsi" w:eastAsiaTheme="minorEastAsia" w:hAnsiTheme="minorHAnsi" w:cstheme="minorBidi"/>
          <w:noProof/>
          <w:spacing w:val="0"/>
          <w:sz w:val="22"/>
          <w:szCs w:val="22"/>
        </w:rPr>
      </w:pPr>
      <w:hyperlink w:anchor="_Toc71879431" w:history="1">
        <w:r w:rsidR="00817244" w:rsidRPr="00356AE0">
          <w:rPr>
            <w:rStyle w:val="Hyperlink"/>
            <w:noProof/>
          </w:rPr>
          <w:t>ANHANG 2: Vorgehen TZ-Einteilung und Gebührenberechnung</w:t>
        </w:r>
        <w:r w:rsidR="00817244">
          <w:rPr>
            <w:noProof/>
            <w:webHidden/>
          </w:rPr>
          <w:tab/>
        </w:r>
        <w:r w:rsidR="00817244">
          <w:rPr>
            <w:noProof/>
            <w:webHidden/>
          </w:rPr>
          <w:fldChar w:fldCharType="begin"/>
        </w:r>
        <w:r w:rsidR="00817244">
          <w:rPr>
            <w:noProof/>
            <w:webHidden/>
          </w:rPr>
          <w:instrText xml:space="preserve"> PAGEREF _Toc71879431 \h </w:instrText>
        </w:r>
        <w:r w:rsidR="00817244">
          <w:rPr>
            <w:noProof/>
            <w:webHidden/>
          </w:rPr>
        </w:r>
        <w:r w:rsidR="00817244">
          <w:rPr>
            <w:noProof/>
            <w:webHidden/>
          </w:rPr>
          <w:fldChar w:fldCharType="separate"/>
        </w:r>
        <w:r w:rsidR="00817244">
          <w:rPr>
            <w:noProof/>
            <w:webHidden/>
          </w:rPr>
          <w:t>18</w:t>
        </w:r>
        <w:r w:rsidR="00817244">
          <w:rPr>
            <w:noProof/>
            <w:webHidden/>
          </w:rPr>
          <w:fldChar w:fldCharType="end"/>
        </w:r>
      </w:hyperlink>
    </w:p>
    <w:p w:rsidR="00ED460E" w:rsidRPr="00E81944" w:rsidRDefault="00ED460E" w:rsidP="00EF5B85">
      <w:pPr>
        <w:pStyle w:val="StandardFett"/>
        <w:ind w:left="1134" w:hanging="1134"/>
        <w:rPr>
          <w:lang w:val="fr-CH"/>
        </w:rPr>
      </w:pPr>
      <w:r w:rsidRPr="003D2954">
        <w:fldChar w:fldCharType="end"/>
      </w:r>
    </w:p>
    <w:p w:rsidR="00ED460E" w:rsidRPr="003761EF" w:rsidRDefault="00ED460E" w:rsidP="00ED460E">
      <w:pPr>
        <w:spacing w:line="0" w:lineRule="atLeast"/>
        <w:rPr>
          <w:sz w:val="2"/>
          <w:szCs w:val="2"/>
        </w:rPr>
      </w:pPr>
      <w:bookmarkStart w:id="3" w:name="BkMod_006"/>
      <w:bookmarkEnd w:id="2"/>
      <w:r>
        <w:br w:type="page"/>
      </w:r>
    </w:p>
    <w:p w:rsidR="00ED460E" w:rsidRPr="002B7200" w:rsidRDefault="00ED460E" w:rsidP="00D65F57">
      <w:pPr>
        <w:rPr>
          <w:rFonts w:cs="Arial"/>
          <w:szCs w:val="24"/>
        </w:rPr>
      </w:pPr>
      <w:bookmarkStart w:id="4" w:name="BkMod_007"/>
      <w:bookmarkEnd w:id="3"/>
      <w:r w:rsidRPr="002B7200">
        <w:rPr>
          <w:rFonts w:cs="Arial"/>
          <w:szCs w:val="24"/>
        </w:rPr>
        <w:lastRenderedPageBreak/>
        <w:t xml:space="preserve">Der Gemeinderat erlässt, gestützt auf Art. </w:t>
      </w:r>
      <w:r>
        <w:rPr>
          <w:rFonts w:cs="Arial"/>
          <w:szCs w:val="24"/>
        </w:rPr>
        <w:t>2</w:t>
      </w:r>
      <w:r w:rsidRPr="002B7200">
        <w:rPr>
          <w:rFonts w:cs="Arial"/>
          <w:szCs w:val="24"/>
        </w:rPr>
        <w:t xml:space="preserve"> Abs. 2 des </w:t>
      </w:r>
      <w:r>
        <w:rPr>
          <w:rFonts w:cs="Arial"/>
          <w:szCs w:val="24"/>
        </w:rPr>
        <w:t xml:space="preserve">Abwasserreglements </w:t>
      </w:r>
      <w:r w:rsidRPr="002B7200">
        <w:rPr>
          <w:rFonts w:cs="Arial"/>
          <w:szCs w:val="24"/>
        </w:rPr>
        <w:t>(</w:t>
      </w:r>
      <w:r>
        <w:rPr>
          <w:rFonts w:cs="Arial"/>
          <w:szCs w:val="24"/>
        </w:rPr>
        <w:t>A</w:t>
      </w:r>
      <w:r w:rsidRPr="002B7200">
        <w:rPr>
          <w:rFonts w:cs="Arial"/>
          <w:szCs w:val="24"/>
        </w:rPr>
        <w:t>R)</w:t>
      </w:r>
      <w:r>
        <w:rPr>
          <w:rFonts w:cs="Arial"/>
          <w:szCs w:val="24"/>
        </w:rPr>
        <w:t xml:space="preserve"> vom </w:t>
      </w:r>
      <w:r w:rsidR="003D2954">
        <w:rPr>
          <w:rFonts w:cs="Arial"/>
          <w:szCs w:val="24"/>
          <w:highlight w:val="lightGray"/>
          <w:u w:color="EEECE1" w:themeColor="background2"/>
        </w:rPr>
        <w:t>tt.mm.jjjj</w:t>
      </w:r>
      <w:r w:rsidRPr="002B7200">
        <w:rPr>
          <w:rFonts w:cs="Arial"/>
          <w:szCs w:val="24"/>
        </w:rPr>
        <w:t>, folgende Vollzugsverordnung</w:t>
      </w:r>
      <w:r>
        <w:rPr>
          <w:rFonts w:cs="Arial"/>
          <w:szCs w:val="24"/>
        </w:rPr>
        <w:t xml:space="preserve"> (VAR)</w:t>
      </w:r>
      <w:r w:rsidRPr="002B7200">
        <w:rPr>
          <w:rFonts w:cs="Arial"/>
          <w:szCs w:val="24"/>
        </w:rPr>
        <w:t>:</w:t>
      </w:r>
    </w:p>
    <w:p w:rsidR="00ED460E" w:rsidRPr="002B7200" w:rsidRDefault="00ED460E" w:rsidP="00ED460E">
      <w:pPr>
        <w:tabs>
          <w:tab w:val="left" w:pos="4536"/>
          <w:tab w:val="left" w:pos="6237"/>
        </w:tabs>
        <w:ind w:left="993" w:hanging="993"/>
        <w:jc w:val="both"/>
        <w:rPr>
          <w:rFonts w:cs="Arial"/>
        </w:rPr>
      </w:pPr>
    </w:p>
    <w:p w:rsidR="00ED460E" w:rsidRPr="002B7200" w:rsidRDefault="00ED460E" w:rsidP="00ED460E">
      <w:pPr>
        <w:tabs>
          <w:tab w:val="left" w:pos="4536"/>
          <w:tab w:val="left" w:pos="6237"/>
        </w:tabs>
        <w:ind w:left="993" w:hanging="993"/>
        <w:jc w:val="both"/>
        <w:rPr>
          <w:rFonts w:cs="Arial"/>
        </w:rPr>
      </w:pPr>
    </w:p>
    <w:p w:rsidR="00ED460E" w:rsidRPr="00E27A70" w:rsidRDefault="00ED460E" w:rsidP="00E27A70">
      <w:pPr>
        <w:pStyle w:val="berschrift2"/>
      </w:pPr>
      <w:bookmarkStart w:id="5" w:name="_Toc71123097"/>
      <w:bookmarkStart w:id="6" w:name="_Toc71879410"/>
      <w:r w:rsidRPr="00E27A70">
        <w:t>Art. 1</w:t>
      </w:r>
      <w:r w:rsidRPr="00E27A70">
        <w:tab/>
        <w:t>Zweck</w:t>
      </w:r>
      <w:bookmarkEnd w:id="5"/>
      <w:bookmarkEnd w:id="6"/>
    </w:p>
    <w:p w:rsidR="00ED460E" w:rsidRPr="002B7200" w:rsidRDefault="00ED460E" w:rsidP="00ED460E">
      <w:pPr>
        <w:tabs>
          <w:tab w:val="left" w:pos="4536"/>
          <w:tab w:val="left" w:pos="6237"/>
        </w:tabs>
        <w:jc w:val="both"/>
        <w:rPr>
          <w:rFonts w:cs="Arial"/>
        </w:rPr>
      </w:pPr>
    </w:p>
    <w:p w:rsidR="00ED460E" w:rsidRPr="002B7200" w:rsidRDefault="00ED460E" w:rsidP="00817244">
      <w:r w:rsidRPr="002B7200">
        <w:t xml:space="preserve">Mit </w:t>
      </w:r>
      <w:r>
        <w:t>der VAR</w:t>
      </w:r>
      <w:r w:rsidRPr="002B7200">
        <w:t xml:space="preserve"> regelt der Gemeinderat den Vollzug des </w:t>
      </w:r>
      <w:r w:rsidR="00D65F57">
        <w:t>Abwasserreglements (</w:t>
      </w:r>
      <w:r>
        <w:t>AR</w:t>
      </w:r>
      <w:r w:rsidR="00D65F57">
        <w:t>)</w:t>
      </w:r>
      <w:r>
        <w:t xml:space="preserve"> </w:t>
      </w:r>
      <w:r w:rsidRPr="002B7200">
        <w:t xml:space="preserve">gemäss Art. </w:t>
      </w:r>
      <w:r>
        <w:t>2</w:t>
      </w:r>
      <w:r w:rsidRPr="002B7200">
        <w:t xml:space="preserve"> Abs. 2 </w:t>
      </w:r>
      <w:r>
        <w:t>A</w:t>
      </w:r>
      <w:r w:rsidRPr="002B7200">
        <w:t>R.</w:t>
      </w:r>
    </w:p>
    <w:p w:rsidR="00ED460E" w:rsidRPr="002B7200" w:rsidRDefault="00ED460E" w:rsidP="00ED460E">
      <w:pPr>
        <w:tabs>
          <w:tab w:val="left" w:pos="4536"/>
          <w:tab w:val="left" w:pos="6237"/>
        </w:tabs>
        <w:jc w:val="both"/>
        <w:rPr>
          <w:rFonts w:cs="Arial"/>
        </w:rPr>
      </w:pPr>
    </w:p>
    <w:p w:rsidR="00ED460E" w:rsidRPr="002B7200" w:rsidRDefault="00ED460E" w:rsidP="00ED460E">
      <w:pPr>
        <w:tabs>
          <w:tab w:val="left" w:pos="4536"/>
          <w:tab w:val="left" w:pos="6237"/>
        </w:tabs>
        <w:jc w:val="both"/>
        <w:rPr>
          <w:rFonts w:cs="Arial"/>
        </w:rPr>
      </w:pPr>
    </w:p>
    <w:p w:rsidR="00ED460E" w:rsidRPr="002B7200" w:rsidRDefault="00ED460E" w:rsidP="00E27A70">
      <w:pPr>
        <w:pStyle w:val="berschrift2"/>
      </w:pPr>
      <w:bookmarkStart w:id="7" w:name="_Toc71123098"/>
      <w:bookmarkStart w:id="8" w:name="_Toc71879411"/>
      <w:r w:rsidRPr="002B7200">
        <w:t>Art. 2</w:t>
      </w:r>
      <w:r w:rsidRPr="002B7200">
        <w:tab/>
        <w:t>Grundsätze</w:t>
      </w:r>
      <w:bookmarkEnd w:id="7"/>
      <w:bookmarkEnd w:id="8"/>
    </w:p>
    <w:p w:rsidR="00ED460E" w:rsidRPr="002B7200" w:rsidRDefault="00ED460E" w:rsidP="00ED460E">
      <w:pPr>
        <w:tabs>
          <w:tab w:val="left" w:pos="4536"/>
          <w:tab w:val="left" w:pos="6237"/>
        </w:tabs>
        <w:jc w:val="both"/>
        <w:rPr>
          <w:rFonts w:cs="Arial"/>
        </w:rPr>
      </w:pPr>
    </w:p>
    <w:p w:rsidR="00ED460E" w:rsidRPr="002B7200" w:rsidRDefault="00ED460E" w:rsidP="00817244">
      <w:r w:rsidRPr="002B7200">
        <w:t>Die Tarife verstehen sich exklusive Mehrwertsteuer</w:t>
      </w:r>
      <w:r>
        <w:t xml:space="preserve"> (MWST)</w:t>
      </w:r>
      <w:r w:rsidRPr="002B7200">
        <w:t>.</w:t>
      </w:r>
    </w:p>
    <w:p w:rsidR="00ED460E" w:rsidRPr="002B7200" w:rsidRDefault="00ED460E" w:rsidP="00ED460E">
      <w:pPr>
        <w:pStyle w:val="Textkrper-Einzug3"/>
        <w:tabs>
          <w:tab w:val="clear" w:pos="1134"/>
          <w:tab w:val="left" w:pos="284"/>
        </w:tabs>
        <w:spacing w:line="280" w:lineRule="atLeast"/>
        <w:ind w:left="284" w:hanging="284"/>
        <w:jc w:val="both"/>
        <w:rPr>
          <w:rFonts w:cs="Arial"/>
        </w:rPr>
      </w:pPr>
    </w:p>
    <w:p w:rsidR="00ED460E" w:rsidRPr="002B7200" w:rsidRDefault="00ED460E" w:rsidP="00ED460E">
      <w:pPr>
        <w:pStyle w:val="Textkrper-Einzug3"/>
        <w:tabs>
          <w:tab w:val="clear" w:pos="1134"/>
          <w:tab w:val="left" w:pos="284"/>
        </w:tabs>
        <w:spacing w:line="280" w:lineRule="atLeast"/>
        <w:ind w:left="284" w:hanging="284"/>
        <w:jc w:val="both"/>
        <w:rPr>
          <w:rFonts w:cs="Arial"/>
        </w:rPr>
      </w:pPr>
    </w:p>
    <w:p w:rsidR="00ED460E" w:rsidRPr="00E27A70" w:rsidRDefault="00ED460E" w:rsidP="00E27A70">
      <w:pPr>
        <w:pStyle w:val="berschrift2"/>
      </w:pPr>
      <w:bookmarkStart w:id="9" w:name="_Toc71123099"/>
      <w:bookmarkStart w:id="10" w:name="_Toc71879412"/>
      <w:r w:rsidRPr="00E27A70">
        <w:t>Art. 3</w:t>
      </w:r>
      <w:r w:rsidRPr="00E27A70">
        <w:tab/>
        <w:t>Anschlussgebühr</w:t>
      </w:r>
      <w:bookmarkEnd w:id="9"/>
      <w:bookmarkEnd w:id="10"/>
    </w:p>
    <w:p w:rsidR="00ED460E" w:rsidRPr="002B7200" w:rsidRDefault="00ED460E" w:rsidP="00ED460E">
      <w:pPr>
        <w:pStyle w:val="Kopfzeile"/>
        <w:tabs>
          <w:tab w:val="left" w:pos="4536"/>
          <w:tab w:val="left" w:pos="6237"/>
        </w:tabs>
        <w:spacing w:line="280" w:lineRule="atLeast"/>
        <w:jc w:val="both"/>
        <w:rPr>
          <w:rFonts w:cs="Arial"/>
        </w:rPr>
      </w:pPr>
    </w:p>
    <w:p w:rsidR="00ED460E" w:rsidRPr="002B7200" w:rsidRDefault="00ED460E" w:rsidP="00ED460E">
      <w:pPr>
        <w:jc w:val="both"/>
        <w:rPr>
          <w:rFonts w:cs="Arial"/>
        </w:rPr>
      </w:pPr>
      <w:r w:rsidRPr="002B7200">
        <w:rPr>
          <w:rFonts w:cs="Arial"/>
        </w:rPr>
        <w:t xml:space="preserve">Die Anschlussgebühr wird </w:t>
      </w:r>
      <w:r>
        <w:rPr>
          <w:rFonts w:cs="Arial"/>
        </w:rPr>
        <w:t>gemäss</w:t>
      </w:r>
      <w:r w:rsidRPr="002B7200">
        <w:rPr>
          <w:rFonts w:cs="Arial"/>
        </w:rPr>
        <w:t xml:space="preserve"> Art. </w:t>
      </w:r>
      <w:r>
        <w:rPr>
          <w:rFonts w:cs="Arial"/>
        </w:rPr>
        <w:t>22</w:t>
      </w:r>
      <w:r w:rsidRPr="002B7200">
        <w:rPr>
          <w:rFonts w:cs="Arial"/>
        </w:rPr>
        <w:t xml:space="preserve"> und </w:t>
      </w:r>
      <w:r>
        <w:rPr>
          <w:rFonts w:cs="Arial"/>
        </w:rPr>
        <w:t>23</w:t>
      </w:r>
      <w:r w:rsidRPr="002B7200">
        <w:rPr>
          <w:rFonts w:cs="Arial"/>
        </w:rPr>
        <w:t xml:space="preserve"> des </w:t>
      </w:r>
      <w:r>
        <w:rPr>
          <w:rFonts w:cs="Arial"/>
        </w:rPr>
        <w:t>AR</w:t>
      </w:r>
      <w:r w:rsidRPr="002B7200">
        <w:rPr>
          <w:rFonts w:cs="Arial"/>
        </w:rPr>
        <w:t xml:space="preserve"> erhoben.</w:t>
      </w:r>
    </w:p>
    <w:p w:rsidR="00ED460E" w:rsidRPr="002B7200" w:rsidRDefault="00ED460E" w:rsidP="00ED460E">
      <w:pPr>
        <w:jc w:val="both"/>
        <w:rPr>
          <w:rFonts w:cs="Arial"/>
        </w:rPr>
      </w:pPr>
      <w:r w:rsidRPr="002B7200">
        <w:rPr>
          <w:rFonts w:cs="Arial"/>
        </w:rPr>
        <w:t xml:space="preserve">Der Anschlussgebührenansatz (AK) gemäss Art. </w:t>
      </w:r>
      <w:r>
        <w:rPr>
          <w:rFonts w:cs="Arial"/>
        </w:rPr>
        <w:t>23</w:t>
      </w:r>
      <w:r w:rsidRPr="002B7200">
        <w:rPr>
          <w:rFonts w:cs="Arial"/>
        </w:rPr>
        <w:t xml:space="preserve"> Abs. 1 </w:t>
      </w:r>
      <w:r>
        <w:rPr>
          <w:rFonts w:cs="Arial"/>
        </w:rPr>
        <w:t>AR</w:t>
      </w:r>
      <w:r w:rsidRPr="002B7200">
        <w:rPr>
          <w:rFonts w:cs="Arial"/>
        </w:rPr>
        <w:t xml:space="preserve"> beträgt</w:t>
      </w:r>
      <w:r>
        <w:rPr>
          <w:rFonts w:cs="Arial"/>
        </w:rPr>
        <w:t xml:space="preserve"> Fr</w:t>
      </w:r>
      <w:r w:rsidRPr="002427DB">
        <w:rPr>
          <w:rFonts w:cs="Arial"/>
        </w:rPr>
        <w:t>.</w:t>
      </w:r>
      <w:r w:rsidRPr="002427DB">
        <w:rPr>
          <w:rFonts w:cs="Arial"/>
          <w:highlight w:val="lightGray"/>
        </w:rPr>
        <w:t xml:space="preserve"> 10.</w:t>
      </w:r>
      <w:r w:rsidR="00CF07A2">
        <w:rPr>
          <w:rFonts w:cs="Arial"/>
          <w:highlight w:val="lightGray"/>
        </w:rPr>
        <w:t>–</w:t>
      </w:r>
      <w:r w:rsidRPr="002B7200">
        <w:rPr>
          <w:rFonts w:cs="Arial"/>
        </w:rPr>
        <w:t xml:space="preserve"> pro Quadratmeter tarifzonengewichteter Fläche.</w:t>
      </w:r>
    </w:p>
    <w:p w:rsidR="00ED460E" w:rsidRPr="002B7200" w:rsidRDefault="00ED460E" w:rsidP="00ED460E">
      <w:pPr>
        <w:pStyle w:val="Textkrper-Einzug3"/>
        <w:tabs>
          <w:tab w:val="clear" w:pos="1134"/>
          <w:tab w:val="left" w:pos="284"/>
        </w:tabs>
        <w:spacing w:line="280" w:lineRule="atLeast"/>
        <w:ind w:left="284" w:hanging="284"/>
        <w:jc w:val="both"/>
        <w:rPr>
          <w:rFonts w:cs="Arial"/>
        </w:rPr>
      </w:pPr>
    </w:p>
    <w:p w:rsidR="00ED460E" w:rsidRPr="002B7200" w:rsidRDefault="00ED460E" w:rsidP="00ED460E">
      <w:pPr>
        <w:pStyle w:val="Textkrper-Einzug3"/>
        <w:tabs>
          <w:tab w:val="clear" w:pos="1134"/>
          <w:tab w:val="left" w:pos="284"/>
        </w:tabs>
        <w:spacing w:line="280" w:lineRule="atLeast"/>
        <w:ind w:left="284" w:hanging="284"/>
        <w:jc w:val="both"/>
        <w:rPr>
          <w:rFonts w:cs="Arial"/>
        </w:rPr>
      </w:pPr>
    </w:p>
    <w:p w:rsidR="00ED460E" w:rsidRPr="002B7200" w:rsidRDefault="00ED460E" w:rsidP="00E27A70">
      <w:pPr>
        <w:pStyle w:val="berschrift2"/>
      </w:pPr>
      <w:bookmarkStart w:id="11" w:name="_Toc71123100"/>
      <w:bookmarkStart w:id="12" w:name="_Toc71879413"/>
      <w:r w:rsidRPr="002B7200">
        <w:t>Art. 4</w:t>
      </w:r>
      <w:r w:rsidRPr="002B7200">
        <w:tab/>
        <w:t>Betriebsgebühr</w:t>
      </w:r>
      <w:bookmarkEnd w:id="11"/>
      <w:bookmarkEnd w:id="12"/>
    </w:p>
    <w:p w:rsidR="00ED460E" w:rsidRPr="002B7200" w:rsidRDefault="00ED460E" w:rsidP="00ED460E">
      <w:pPr>
        <w:pStyle w:val="Kopfzeile"/>
        <w:tabs>
          <w:tab w:val="left" w:pos="1418"/>
          <w:tab w:val="left" w:pos="1985"/>
          <w:tab w:val="left" w:pos="2552"/>
          <w:tab w:val="left" w:pos="3402"/>
          <w:tab w:val="left" w:pos="3828"/>
          <w:tab w:val="right" w:pos="4962"/>
          <w:tab w:val="left" w:pos="5245"/>
          <w:tab w:val="left" w:pos="6096"/>
          <w:tab w:val="right" w:pos="6663"/>
          <w:tab w:val="right" w:pos="7371"/>
        </w:tabs>
        <w:spacing w:line="280" w:lineRule="atLeast"/>
        <w:jc w:val="both"/>
        <w:rPr>
          <w:rFonts w:cs="Arial"/>
        </w:rPr>
      </w:pPr>
    </w:p>
    <w:p w:rsidR="00ED460E" w:rsidRPr="002B7200" w:rsidRDefault="00ED460E" w:rsidP="00D65F57">
      <w:pPr>
        <w:spacing w:after="120"/>
        <w:ind w:left="284" w:hanging="284"/>
        <w:rPr>
          <w:rFonts w:cs="Arial"/>
        </w:rPr>
      </w:pPr>
      <w:r w:rsidRPr="002B7200">
        <w:rPr>
          <w:rFonts w:cs="Arial"/>
        </w:rPr>
        <w:t>1</w:t>
      </w:r>
      <w:r w:rsidRPr="002B7200">
        <w:rPr>
          <w:rFonts w:cs="Arial"/>
        </w:rPr>
        <w:tab/>
        <w:t xml:space="preserve">Die Berechnung der Betriebsgebühr </w:t>
      </w:r>
      <w:r>
        <w:rPr>
          <w:rFonts w:cs="Arial"/>
        </w:rPr>
        <w:t>wird</w:t>
      </w:r>
      <w:r w:rsidRPr="002B7200">
        <w:rPr>
          <w:rFonts w:cs="Arial"/>
        </w:rPr>
        <w:t xml:space="preserve"> </w:t>
      </w:r>
      <w:r>
        <w:rPr>
          <w:rFonts w:cs="Arial"/>
        </w:rPr>
        <w:t>gemäss</w:t>
      </w:r>
      <w:r w:rsidRPr="002B7200">
        <w:rPr>
          <w:rFonts w:cs="Arial"/>
        </w:rPr>
        <w:t xml:space="preserve"> Art. </w:t>
      </w:r>
      <w:r>
        <w:rPr>
          <w:rFonts w:cs="Arial"/>
        </w:rPr>
        <w:t>24</w:t>
      </w:r>
      <w:r w:rsidRPr="002B7200">
        <w:rPr>
          <w:rFonts w:cs="Arial"/>
        </w:rPr>
        <w:t xml:space="preserve"> und </w:t>
      </w:r>
      <w:r>
        <w:rPr>
          <w:rFonts w:cs="Arial"/>
        </w:rPr>
        <w:t>25</w:t>
      </w:r>
      <w:r w:rsidRPr="002B7200">
        <w:rPr>
          <w:rFonts w:cs="Arial"/>
        </w:rPr>
        <w:t xml:space="preserve"> </w:t>
      </w:r>
      <w:r>
        <w:rPr>
          <w:rFonts w:cs="Arial"/>
        </w:rPr>
        <w:t>AR</w:t>
      </w:r>
      <w:r w:rsidRPr="002B7200">
        <w:rPr>
          <w:rFonts w:cs="Arial"/>
        </w:rPr>
        <w:t xml:space="preserve"> erhoben.</w:t>
      </w:r>
    </w:p>
    <w:p w:rsidR="00ED460E" w:rsidRPr="002B7200" w:rsidRDefault="00ED460E" w:rsidP="00D65F57">
      <w:pPr>
        <w:tabs>
          <w:tab w:val="left" w:pos="3480"/>
        </w:tabs>
        <w:spacing w:after="120"/>
        <w:ind w:left="567" w:hanging="283"/>
        <w:rPr>
          <w:rFonts w:cs="Arial"/>
        </w:rPr>
      </w:pPr>
      <w:r w:rsidRPr="002B7200">
        <w:rPr>
          <w:rFonts w:cs="Arial"/>
        </w:rPr>
        <w:t>-</w:t>
      </w:r>
      <w:r w:rsidRPr="002B7200">
        <w:rPr>
          <w:rFonts w:cs="Arial"/>
        </w:rPr>
        <w:tab/>
        <w:t xml:space="preserve">Der Grundgebührenansatz (KG) gemäss Art. </w:t>
      </w:r>
      <w:r>
        <w:rPr>
          <w:rFonts w:cs="Arial"/>
        </w:rPr>
        <w:t>25</w:t>
      </w:r>
      <w:r w:rsidRPr="002B7200">
        <w:rPr>
          <w:rFonts w:cs="Arial"/>
        </w:rPr>
        <w:t xml:space="preserve"> Abs. 1</w:t>
      </w:r>
      <w:r>
        <w:rPr>
          <w:rFonts w:cs="Arial"/>
        </w:rPr>
        <w:t xml:space="preserve"> AR </w:t>
      </w:r>
      <w:r w:rsidRPr="002B7200">
        <w:rPr>
          <w:rFonts w:cs="Arial"/>
        </w:rPr>
        <w:t>beträgt</w:t>
      </w:r>
      <w:r>
        <w:rPr>
          <w:rFonts w:cs="Arial"/>
        </w:rPr>
        <w:t xml:space="preserve"> Fr</w:t>
      </w:r>
      <w:r w:rsidRPr="002427DB">
        <w:rPr>
          <w:rFonts w:cs="Arial"/>
        </w:rPr>
        <w:t>.</w:t>
      </w:r>
      <w:r w:rsidRPr="002427DB">
        <w:rPr>
          <w:rFonts w:cs="Arial"/>
          <w:highlight w:val="lightGray"/>
        </w:rPr>
        <w:t xml:space="preserve"> 0.10</w:t>
      </w:r>
      <w:r w:rsidRPr="002B7200">
        <w:rPr>
          <w:rFonts w:cs="Arial"/>
        </w:rPr>
        <w:t xml:space="preserve"> pro Quadratmeter tarifzonengewichteter Fläche.</w:t>
      </w:r>
    </w:p>
    <w:p w:rsidR="00ED460E" w:rsidRPr="002B7200" w:rsidRDefault="00ED460E" w:rsidP="00D65F57">
      <w:pPr>
        <w:tabs>
          <w:tab w:val="left" w:pos="3480"/>
        </w:tabs>
        <w:ind w:left="567" w:hanging="283"/>
        <w:rPr>
          <w:rFonts w:cs="Arial"/>
        </w:rPr>
      </w:pPr>
      <w:r w:rsidRPr="002B7200">
        <w:rPr>
          <w:rFonts w:cs="Arial"/>
        </w:rPr>
        <w:t>-</w:t>
      </w:r>
      <w:r w:rsidRPr="002B7200">
        <w:rPr>
          <w:rFonts w:cs="Arial"/>
        </w:rPr>
        <w:tab/>
        <w:t xml:space="preserve">Mengengebührenansatz (KW) gemäss Art. </w:t>
      </w:r>
      <w:r>
        <w:rPr>
          <w:rFonts w:cs="Arial"/>
        </w:rPr>
        <w:t>25</w:t>
      </w:r>
      <w:r w:rsidRPr="002B7200">
        <w:rPr>
          <w:rFonts w:cs="Arial"/>
        </w:rPr>
        <w:t xml:space="preserve"> Abs. 1 </w:t>
      </w:r>
      <w:r>
        <w:rPr>
          <w:rFonts w:cs="Arial"/>
        </w:rPr>
        <w:t>AR</w:t>
      </w:r>
      <w:r w:rsidRPr="002B7200">
        <w:rPr>
          <w:rFonts w:cs="Arial"/>
        </w:rPr>
        <w:t xml:space="preserve"> beträgt</w:t>
      </w:r>
      <w:r>
        <w:rPr>
          <w:rFonts w:cs="Arial"/>
        </w:rPr>
        <w:t xml:space="preserve"> Fr</w:t>
      </w:r>
      <w:r w:rsidRPr="002427DB">
        <w:rPr>
          <w:rFonts w:cs="Arial"/>
        </w:rPr>
        <w:t>.</w:t>
      </w:r>
      <w:r w:rsidRPr="002427DB">
        <w:rPr>
          <w:rFonts w:cs="Arial"/>
          <w:highlight w:val="lightGray"/>
        </w:rPr>
        <w:t xml:space="preserve"> 1.50</w:t>
      </w:r>
      <w:r w:rsidRPr="002427DB">
        <w:rPr>
          <w:rFonts w:cs="Arial"/>
        </w:rPr>
        <w:t xml:space="preserve"> pro</w:t>
      </w:r>
      <w:r w:rsidRPr="002B7200">
        <w:rPr>
          <w:rFonts w:cs="Arial"/>
        </w:rPr>
        <w:t xml:space="preserve"> Kubikmeter Frischwasser / Brauchwasser.</w:t>
      </w:r>
    </w:p>
    <w:p w:rsidR="00ED460E" w:rsidRPr="002B7200" w:rsidRDefault="00ED460E" w:rsidP="00817244"/>
    <w:p w:rsidR="00ED460E" w:rsidRPr="002B7200" w:rsidRDefault="00ED460E" w:rsidP="00ED460E">
      <w:pPr>
        <w:ind w:left="284" w:hanging="284"/>
        <w:rPr>
          <w:rFonts w:cs="Arial"/>
        </w:rPr>
      </w:pPr>
      <w:r w:rsidRPr="002B7200">
        <w:rPr>
          <w:rFonts w:cs="Arial"/>
        </w:rPr>
        <w:t>2</w:t>
      </w:r>
      <w:r w:rsidRPr="002B7200">
        <w:rPr>
          <w:rFonts w:cs="Arial"/>
        </w:rPr>
        <w:tab/>
        <w:t>Die Mengengebühr wird aufgrund der von der Wasserversorgung oder über die private Eigenversorgung bezogenen Frischwassermenge erhoben. Sind keine oder ungenaue Angaben über den Wasserverbrauch vorhanden, werden</w:t>
      </w:r>
      <w:r>
        <w:rPr>
          <w:rFonts w:cs="Arial"/>
        </w:rPr>
        <w:t xml:space="preserve"> gestützt auf Art. 24 Abs. 5 AR </w:t>
      </w:r>
      <w:r w:rsidRPr="002B7200">
        <w:rPr>
          <w:rFonts w:cs="Arial"/>
        </w:rPr>
        <w:t>pro Person und Jahr 58 m</w:t>
      </w:r>
      <w:r w:rsidRPr="002B7200">
        <w:rPr>
          <w:rFonts w:cs="Arial"/>
          <w:vertAlign w:val="superscript"/>
        </w:rPr>
        <w:t>3</w:t>
      </w:r>
      <w:r w:rsidRPr="002B7200">
        <w:rPr>
          <w:rFonts w:cs="Arial"/>
        </w:rPr>
        <w:t xml:space="preserve"> in Rechnung gestellt (Einwohnerkontrolle mit Stichtag 1. Januar des Rechnungsjahres).</w:t>
      </w:r>
    </w:p>
    <w:p w:rsidR="00ED460E" w:rsidRPr="002B7200" w:rsidRDefault="00ED460E" w:rsidP="00817244"/>
    <w:p w:rsidR="00ED460E" w:rsidRPr="002B7200" w:rsidRDefault="00ED460E" w:rsidP="00817244"/>
    <w:p w:rsidR="00ED460E" w:rsidRPr="002B7200" w:rsidRDefault="00ED460E" w:rsidP="00E27A70">
      <w:pPr>
        <w:pStyle w:val="berschrift2"/>
      </w:pPr>
      <w:bookmarkStart w:id="13" w:name="_Toc71123101"/>
      <w:bookmarkStart w:id="14" w:name="_Toc71879414"/>
      <w:r w:rsidRPr="002B7200">
        <w:t>Art. 5</w:t>
      </w:r>
      <w:r w:rsidRPr="002B7200">
        <w:tab/>
        <w:t>Vorübergehende Anschlüsse</w:t>
      </w:r>
      <w:bookmarkEnd w:id="13"/>
      <w:bookmarkEnd w:id="14"/>
    </w:p>
    <w:p w:rsidR="00ED460E" w:rsidRPr="002B7200" w:rsidRDefault="00ED460E" w:rsidP="00ED460E">
      <w:pPr>
        <w:ind w:left="284" w:hanging="284"/>
        <w:rPr>
          <w:rFonts w:cs="Arial"/>
        </w:rPr>
      </w:pPr>
    </w:p>
    <w:p w:rsidR="00ED460E" w:rsidRPr="002B7200" w:rsidRDefault="00ED460E" w:rsidP="00ED460E">
      <w:pPr>
        <w:ind w:left="284" w:hanging="284"/>
        <w:rPr>
          <w:rFonts w:cs="Arial"/>
        </w:rPr>
      </w:pPr>
      <w:r w:rsidRPr="002B7200">
        <w:rPr>
          <w:rFonts w:cs="Arial"/>
        </w:rPr>
        <w:t>1</w:t>
      </w:r>
      <w:r w:rsidRPr="002B7200">
        <w:rPr>
          <w:rFonts w:cs="Arial"/>
        </w:rPr>
        <w:tab/>
        <w:t xml:space="preserve">Für Anschlüsse gemäss Art. </w:t>
      </w:r>
      <w:r>
        <w:rPr>
          <w:rFonts w:cs="Arial"/>
        </w:rPr>
        <w:t>23</w:t>
      </w:r>
      <w:r w:rsidRPr="002B7200">
        <w:rPr>
          <w:rFonts w:cs="Arial"/>
        </w:rPr>
        <w:t xml:space="preserve"> Abs. 3 </w:t>
      </w:r>
      <w:r>
        <w:rPr>
          <w:rFonts w:cs="Arial"/>
        </w:rPr>
        <w:t>AR</w:t>
      </w:r>
      <w:r w:rsidRPr="002B7200">
        <w:rPr>
          <w:rFonts w:cs="Arial"/>
        </w:rPr>
        <w:t xml:space="preserve">, welche nur vorübergehend, aber </w:t>
      </w:r>
      <w:r>
        <w:rPr>
          <w:rFonts w:cs="Arial"/>
        </w:rPr>
        <w:t>für länger</w:t>
      </w:r>
      <w:r w:rsidRPr="002B7200">
        <w:rPr>
          <w:rFonts w:cs="Arial"/>
        </w:rPr>
        <w:t xml:space="preserve"> als zwölf Monate erstellt werden, ist die Entrichtung von Anschlussgebühren für vorübergehende Anschlüsse geschuldet. Anschlüsse, welche für die Dauer von zehn Jahren und mehr erstellt werden, </w:t>
      </w:r>
      <w:r>
        <w:rPr>
          <w:rFonts w:cs="Arial"/>
        </w:rPr>
        <w:t xml:space="preserve">sowie die Entwässerung von Baustellen </w:t>
      </w:r>
      <w:r w:rsidRPr="002B7200">
        <w:rPr>
          <w:rFonts w:cs="Arial"/>
        </w:rPr>
        <w:t>gelten nicht als vorübergehende Anschlüsse.</w:t>
      </w:r>
    </w:p>
    <w:p w:rsidR="00ED460E" w:rsidRPr="002B7200" w:rsidRDefault="00ED460E" w:rsidP="00ED460E">
      <w:pPr>
        <w:ind w:left="284" w:hanging="284"/>
        <w:rPr>
          <w:rFonts w:cs="Arial"/>
        </w:rPr>
      </w:pPr>
    </w:p>
    <w:p w:rsidR="00ED460E" w:rsidRPr="002B7200" w:rsidRDefault="00ED460E" w:rsidP="00ED460E">
      <w:pPr>
        <w:ind w:left="284" w:hanging="284"/>
        <w:rPr>
          <w:rFonts w:cs="Arial"/>
        </w:rPr>
      </w:pPr>
      <w:r w:rsidRPr="002B7200">
        <w:rPr>
          <w:rFonts w:cs="Arial"/>
        </w:rPr>
        <w:t>2</w:t>
      </w:r>
      <w:r w:rsidRPr="002B7200">
        <w:rPr>
          <w:rFonts w:cs="Arial"/>
        </w:rPr>
        <w:tab/>
        <w:t xml:space="preserve">Die Anschlussgebühr für vorübergehende Anschlüsse wird pro rata je angebrochenes Anschluss-jahr festgelegt. </w:t>
      </w:r>
      <w:bookmarkStart w:id="15" w:name="_Hlk54947518"/>
      <w:r w:rsidRPr="002B7200">
        <w:rPr>
          <w:rFonts w:cs="Arial"/>
        </w:rPr>
        <w:t>Pro Jahr beträgt die Anschlussgebühr 10</w:t>
      </w:r>
      <w:r>
        <w:rPr>
          <w:rFonts w:cs="Arial"/>
        </w:rPr>
        <w:t xml:space="preserve"> </w:t>
      </w:r>
      <w:r w:rsidRPr="002B7200">
        <w:rPr>
          <w:rFonts w:cs="Arial"/>
        </w:rPr>
        <w:t xml:space="preserve">% der ordentlichen </w:t>
      </w:r>
      <w:r w:rsidRPr="002B7200">
        <w:rPr>
          <w:rFonts w:cs="Arial"/>
        </w:rPr>
        <w:lastRenderedPageBreak/>
        <w:t>Anschlussgebühr. Folglich wird im angebrochenen zehnten Jahr 100</w:t>
      </w:r>
      <w:r>
        <w:rPr>
          <w:rFonts w:cs="Arial"/>
        </w:rPr>
        <w:t xml:space="preserve"> </w:t>
      </w:r>
      <w:r w:rsidRPr="002B7200">
        <w:rPr>
          <w:rFonts w:cs="Arial"/>
        </w:rPr>
        <w:t>% der ordentlichen Anschlussgebühr bezahlt sein.</w:t>
      </w:r>
      <w:bookmarkEnd w:id="15"/>
    </w:p>
    <w:p w:rsidR="00ED460E" w:rsidRPr="002B7200" w:rsidRDefault="00ED460E" w:rsidP="00ED460E">
      <w:pPr>
        <w:ind w:left="284" w:hanging="284"/>
        <w:rPr>
          <w:rFonts w:cs="Arial"/>
        </w:rPr>
      </w:pPr>
    </w:p>
    <w:p w:rsidR="00ED460E" w:rsidRPr="002B7200" w:rsidRDefault="00ED460E" w:rsidP="00D65F57">
      <w:pPr>
        <w:ind w:left="284" w:hanging="284"/>
        <w:jc w:val="both"/>
        <w:rPr>
          <w:rFonts w:cs="Arial"/>
        </w:rPr>
      </w:pPr>
      <w:r w:rsidRPr="002B7200">
        <w:rPr>
          <w:rFonts w:cs="Arial"/>
        </w:rPr>
        <w:t>3</w:t>
      </w:r>
      <w:r w:rsidRPr="002B7200">
        <w:rPr>
          <w:rFonts w:cs="Arial"/>
        </w:rPr>
        <w:tab/>
        <w:t>Die jährliche Grund- und Mengengebühr ist für die gesamte Dauer des Anschlusses bis zum Ende des letzten angebrochenen Jahres geschuldet.</w:t>
      </w:r>
    </w:p>
    <w:p w:rsidR="00ED460E" w:rsidRPr="002B7200" w:rsidRDefault="00ED460E" w:rsidP="00ED460E">
      <w:pPr>
        <w:ind w:left="284" w:hanging="284"/>
        <w:rPr>
          <w:rFonts w:cs="Arial"/>
        </w:rPr>
      </w:pPr>
    </w:p>
    <w:p w:rsidR="00ED460E" w:rsidRPr="002B7200" w:rsidRDefault="00ED460E" w:rsidP="00ED460E">
      <w:pPr>
        <w:ind w:left="284" w:hanging="284"/>
        <w:rPr>
          <w:rFonts w:cs="Arial"/>
        </w:rPr>
      </w:pPr>
      <w:r w:rsidRPr="002B7200">
        <w:rPr>
          <w:rFonts w:cs="Arial"/>
        </w:rPr>
        <w:t>4</w:t>
      </w:r>
      <w:r w:rsidRPr="002B7200">
        <w:rPr>
          <w:rFonts w:cs="Arial"/>
        </w:rPr>
        <w:tab/>
        <w:t>Ein Anschluss gilt als beendet, wenn die Abwasseranschlüsse technisch ausser Betrieb genommen werden.</w:t>
      </w:r>
    </w:p>
    <w:p w:rsidR="00ED460E" w:rsidRPr="002B7200" w:rsidRDefault="00ED460E" w:rsidP="00ED460E">
      <w:pPr>
        <w:ind w:left="284" w:hanging="284"/>
        <w:rPr>
          <w:rFonts w:cs="Arial"/>
        </w:rPr>
      </w:pPr>
    </w:p>
    <w:p w:rsidR="00ED460E" w:rsidRPr="002B7200" w:rsidRDefault="00ED460E" w:rsidP="00ED460E">
      <w:pPr>
        <w:ind w:left="284" w:hanging="284"/>
        <w:rPr>
          <w:rFonts w:cs="Arial"/>
        </w:rPr>
      </w:pPr>
      <w:r w:rsidRPr="002B7200">
        <w:rPr>
          <w:rFonts w:cs="Arial"/>
        </w:rPr>
        <w:t>5</w:t>
      </w:r>
      <w:r w:rsidRPr="002B7200">
        <w:rPr>
          <w:rFonts w:cs="Arial"/>
        </w:rPr>
        <w:tab/>
        <w:t xml:space="preserve">Wird im Nachgang zu einem vorübergehenden Anschluss ein dauerhafter Anschluss erstellt, wird die </w:t>
      </w:r>
      <w:r>
        <w:rPr>
          <w:rFonts w:cs="Arial"/>
        </w:rPr>
        <w:t xml:space="preserve">bezahlte </w:t>
      </w:r>
      <w:r w:rsidRPr="002B7200">
        <w:rPr>
          <w:rFonts w:cs="Arial"/>
        </w:rPr>
        <w:t>Anschlussgebühr für vorübergehende Anschlüsse mitberücksichtigt.</w:t>
      </w:r>
    </w:p>
    <w:p w:rsidR="00ED460E" w:rsidRPr="002B7200" w:rsidRDefault="00ED460E" w:rsidP="00ED460E">
      <w:pPr>
        <w:ind w:left="284" w:hanging="284"/>
        <w:rPr>
          <w:rFonts w:cs="Arial"/>
        </w:rPr>
      </w:pPr>
    </w:p>
    <w:p w:rsidR="00ED460E" w:rsidRPr="002B7200" w:rsidRDefault="00ED460E" w:rsidP="00ED460E">
      <w:pPr>
        <w:rPr>
          <w:rFonts w:cs="Arial"/>
        </w:rPr>
      </w:pPr>
    </w:p>
    <w:p w:rsidR="00ED460E" w:rsidRPr="002B7200" w:rsidRDefault="00ED460E" w:rsidP="00E27A70">
      <w:pPr>
        <w:pStyle w:val="berschrift2"/>
      </w:pPr>
      <w:bookmarkStart w:id="16" w:name="_Toc71123102"/>
      <w:bookmarkStart w:id="17" w:name="_Toc71879415"/>
      <w:bookmarkStart w:id="18" w:name="_Hlk31792962"/>
      <w:r w:rsidRPr="002B7200">
        <w:t>Art. 6</w:t>
      </w:r>
      <w:r w:rsidRPr="002B7200">
        <w:tab/>
        <w:t>Separate Messung nicht abgeleiteter Mengen</w:t>
      </w:r>
      <w:bookmarkEnd w:id="16"/>
      <w:bookmarkEnd w:id="17"/>
    </w:p>
    <w:p w:rsidR="00ED460E" w:rsidRPr="002B7200" w:rsidRDefault="00ED460E" w:rsidP="00ED460E">
      <w:pPr>
        <w:rPr>
          <w:rFonts w:cs="Arial"/>
        </w:rPr>
      </w:pPr>
    </w:p>
    <w:p w:rsidR="00ED460E" w:rsidRPr="002B7200" w:rsidRDefault="00ED460E" w:rsidP="00D65F57">
      <w:pPr>
        <w:ind w:left="284" w:hanging="284"/>
        <w:rPr>
          <w:rFonts w:cs="Arial"/>
        </w:rPr>
      </w:pPr>
      <w:r w:rsidRPr="002B7200">
        <w:rPr>
          <w:rFonts w:cs="Arial"/>
        </w:rPr>
        <w:t>1</w:t>
      </w:r>
      <w:r w:rsidRPr="002B7200">
        <w:rPr>
          <w:rFonts w:cs="Arial"/>
        </w:rPr>
        <w:tab/>
        <w:t xml:space="preserve">Gestützt auf Art. </w:t>
      </w:r>
      <w:r>
        <w:rPr>
          <w:rFonts w:cs="Arial"/>
        </w:rPr>
        <w:t>24</w:t>
      </w:r>
      <w:r w:rsidRPr="002B7200">
        <w:rPr>
          <w:rFonts w:cs="Arial"/>
        </w:rPr>
        <w:t xml:space="preserve"> Abs. </w:t>
      </w:r>
      <w:r>
        <w:rPr>
          <w:rFonts w:cs="Arial"/>
        </w:rPr>
        <w:t xml:space="preserve">4 AR </w:t>
      </w:r>
      <w:r w:rsidRPr="002B7200">
        <w:rPr>
          <w:rFonts w:cs="Arial"/>
        </w:rPr>
        <w:t>wird für jeden zusätzlichen Zähler zur Messung der nicht in die öffentlichen Leitungen abgeleiteten Frischwassermenge eine Verwaltungsgebühr von pauschal</w:t>
      </w:r>
      <w:r>
        <w:rPr>
          <w:rFonts w:cs="Arial"/>
        </w:rPr>
        <w:t xml:space="preserve"> Fr.</w:t>
      </w:r>
      <w:r w:rsidRPr="00495FD2">
        <w:rPr>
          <w:rFonts w:cs="Arial"/>
          <w:highlight w:val="lightGray"/>
        </w:rPr>
        <w:t> 100.</w:t>
      </w:r>
      <w:r w:rsidR="00CF07A2">
        <w:rPr>
          <w:rFonts w:cs="Arial"/>
          <w:highlight w:val="lightGray"/>
        </w:rPr>
        <w:t>–</w:t>
      </w:r>
      <w:r w:rsidRPr="002B7200">
        <w:rPr>
          <w:rFonts w:cs="Arial"/>
        </w:rPr>
        <w:t xml:space="preserve"> pro Jahr erhoben. Dieser Betrag ist auch geschuldet, wenn die Mindestmenge gemäss Abs. 3 nicht erreicht wird. In diesem Betrag sind die Einbaukosten und die Zählermiete der Wasserversorgung nicht enthalten. </w:t>
      </w:r>
    </w:p>
    <w:p w:rsidR="00ED460E" w:rsidRPr="002B7200" w:rsidRDefault="00ED460E" w:rsidP="00D65F57">
      <w:pPr>
        <w:ind w:left="284" w:hanging="284"/>
        <w:rPr>
          <w:rFonts w:cs="Arial"/>
        </w:rPr>
      </w:pPr>
    </w:p>
    <w:p w:rsidR="00ED460E" w:rsidRPr="002B7200" w:rsidRDefault="00ED460E" w:rsidP="00D65F57">
      <w:pPr>
        <w:ind w:left="284" w:hanging="284"/>
        <w:rPr>
          <w:rFonts w:cs="Arial"/>
        </w:rPr>
      </w:pPr>
      <w:r w:rsidRPr="002B7200">
        <w:rPr>
          <w:rFonts w:cs="Arial"/>
        </w:rPr>
        <w:t>2</w:t>
      </w:r>
      <w:r w:rsidRPr="002B7200">
        <w:rPr>
          <w:rFonts w:cs="Arial"/>
        </w:rPr>
        <w:tab/>
        <w:t>Es werden nur Messungen akzeptiert, die aus von der Wasserversorgung gemieteten und plombierten Wasserzählern gewonnen wurden.</w:t>
      </w:r>
    </w:p>
    <w:p w:rsidR="00ED460E" w:rsidRPr="002B7200" w:rsidRDefault="00ED460E" w:rsidP="00D65F57">
      <w:pPr>
        <w:ind w:left="284" w:hanging="284"/>
        <w:rPr>
          <w:rFonts w:cs="Arial"/>
        </w:rPr>
      </w:pPr>
    </w:p>
    <w:p w:rsidR="00ED460E" w:rsidRPr="002B7200" w:rsidRDefault="00ED460E" w:rsidP="00D65F57">
      <w:pPr>
        <w:ind w:left="284" w:hanging="284"/>
        <w:rPr>
          <w:rFonts w:cs="Arial"/>
        </w:rPr>
      </w:pPr>
      <w:r w:rsidRPr="002B7200">
        <w:rPr>
          <w:rFonts w:cs="Arial"/>
        </w:rPr>
        <w:t>3</w:t>
      </w:r>
      <w:r w:rsidRPr="002B7200">
        <w:rPr>
          <w:rFonts w:cs="Arial"/>
        </w:rPr>
        <w:tab/>
        <w:t>Eine Mengenreduktion wird nur gewährt, wenn die separat während der Ableseperiode gemessene Menge mehr als 80 m</w:t>
      </w:r>
      <w:r w:rsidRPr="002B7200">
        <w:rPr>
          <w:rFonts w:cs="Arial"/>
          <w:vertAlign w:val="superscript"/>
        </w:rPr>
        <w:t>3</w:t>
      </w:r>
      <w:r w:rsidRPr="002B7200">
        <w:rPr>
          <w:rFonts w:cs="Arial"/>
        </w:rPr>
        <w:t xml:space="preserve"> beträgt. </w:t>
      </w:r>
    </w:p>
    <w:bookmarkEnd w:id="18"/>
    <w:p w:rsidR="00ED460E" w:rsidRPr="002B7200" w:rsidRDefault="00ED460E" w:rsidP="00ED460E">
      <w:pPr>
        <w:ind w:left="284" w:hanging="284"/>
        <w:rPr>
          <w:rFonts w:cs="Arial"/>
        </w:rPr>
      </w:pPr>
    </w:p>
    <w:p w:rsidR="00ED460E" w:rsidRPr="002B7200" w:rsidRDefault="00ED460E" w:rsidP="00ED460E">
      <w:pPr>
        <w:rPr>
          <w:rFonts w:cs="Arial"/>
        </w:rPr>
      </w:pPr>
    </w:p>
    <w:p w:rsidR="00ED460E" w:rsidRPr="002B7200" w:rsidRDefault="00ED460E" w:rsidP="00E27A70">
      <w:pPr>
        <w:pStyle w:val="berschrift2"/>
      </w:pPr>
      <w:bookmarkStart w:id="19" w:name="_Toc71123103"/>
      <w:bookmarkStart w:id="20" w:name="_Toc71879416"/>
      <w:r w:rsidRPr="002B7200">
        <w:t>Art. 7</w:t>
      </w:r>
      <w:r w:rsidRPr="002B7200">
        <w:tab/>
        <w:t>Geschossigkeit</w:t>
      </w:r>
      <w:bookmarkEnd w:id="19"/>
      <w:bookmarkEnd w:id="20"/>
    </w:p>
    <w:p w:rsidR="00ED460E" w:rsidRPr="002B7200" w:rsidRDefault="00ED460E" w:rsidP="00ED460E">
      <w:pPr>
        <w:ind w:left="284" w:hanging="284"/>
        <w:rPr>
          <w:rFonts w:cs="Arial"/>
        </w:rPr>
      </w:pPr>
    </w:p>
    <w:p w:rsidR="00ED460E" w:rsidRPr="002B7200" w:rsidRDefault="00ED460E" w:rsidP="00D65F57">
      <w:pPr>
        <w:ind w:left="284" w:hanging="284"/>
        <w:rPr>
          <w:rFonts w:cs="Arial"/>
        </w:rPr>
      </w:pPr>
      <w:r w:rsidRPr="002B7200">
        <w:rPr>
          <w:rFonts w:cs="Arial"/>
        </w:rPr>
        <w:t>1</w:t>
      </w:r>
      <w:r w:rsidRPr="002B7200">
        <w:rPr>
          <w:rFonts w:cs="Arial"/>
        </w:rPr>
        <w:tab/>
        <w:t>Die Geschossigkeit dient als Hauptkriterium für die Tarifzonen</w:t>
      </w:r>
      <w:r>
        <w:rPr>
          <w:rFonts w:cs="Arial"/>
        </w:rPr>
        <w:t>-G</w:t>
      </w:r>
      <w:r w:rsidRPr="002B7200">
        <w:rPr>
          <w:rFonts w:cs="Arial"/>
        </w:rPr>
        <w:t xml:space="preserve">rundeinteilung gemäss Art. </w:t>
      </w:r>
      <w:r>
        <w:rPr>
          <w:rFonts w:cs="Arial"/>
        </w:rPr>
        <w:t>20</w:t>
      </w:r>
      <w:r w:rsidRPr="002B7200">
        <w:rPr>
          <w:rFonts w:cs="Arial"/>
        </w:rPr>
        <w:t xml:space="preserve"> </w:t>
      </w:r>
      <w:r>
        <w:rPr>
          <w:rFonts w:cs="Arial"/>
        </w:rPr>
        <w:t>A</w:t>
      </w:r>
      <w:r w:rsidRPr="002B7200">
        <w:rPr>
          <w:rFonts w:cs="Arial"/>
        </w:rPr>
        <w:t>R. Zur Ermittlung der Geschossigkeit werden alle Geschosse mit möglicher Gewerbe- oder Wohnnutzung (Raumflächen sind isoliert, beheizbar und als Wohn</w:t>
      </w:r>
      <w:r>
        <w:rPr>
          <w:rFonts w:cs="Arial"/>
        </w:rPr>
        <w:t>- oder Gewerbe</w:t>
      </w:r>
      <w:r w:rsidRPr="002B7200">
        <w:rPr>
          <w:rFonts w:cs="Arial"/>
        </w:rPr>
        <w:t>raum nutzbar) mitberücksichtigt.</w:t>
      </w:r>
    </w:p>
    <w:p w:rsidR="00ED460E" w:rsidRPr="002B7200" w:rsidRDefault="00ED460E" w:rsidP="00D65F57">
      <w:pPr>
        <w:ind w:left="284" w:hanging="284"/>
        <w:rPr>
          <w:rFonts w:cs="Arial"/>
        </w:rPr>
      </w:pPr>
    </w:p>
    <w:p w:rsidR="00ED460E" w:rsidRPr="002B7200" w:rsidRDefault="00ED460E" w:rsidP="00D65F57">
      <w:pPr>
        <w:ind w:left="284" w:hanging="284"/>
        <w:rPr>
          <w:rFonts w:cs="Arial"/>
        </w:rPr>
      </w:pPr>
      <w:r w:rsidRPr="002B7200">
        <w:rPr>
          <w:rFonts w:cs="Arial"/>
        </w:rPr>
        <w:t>2</w:t>
      </w:r>
      <w:r w:rsidRPr="002B7200">
        <w:rPr>
          <w:rFonts w:cs="Arial"/>
        </w:rPr>
        <w:tab/>
        <w:t xml:space="preserve">Entspricht die Summe der Flächen mit Gewerbe- bzw. Wohnnutzung in </w:t>
      </w:r>
      <w:r>
        <w:rPr>
          <w:rFonts w:cs="Arial"/>
        </w:rPr>
        <w:t>Teilg</w:t>
      </w:r>
      <w:r w:rsidRPr="002B7200">
        <w:rPr>
          <w:rFonts w:cs="Arial"/>
        </w:rPr>
        <w:t>eschoss</w:t>
      </w:r>
      <w:r>
        <w:rPr>
          <w:rFonts w:cs="Arial"/>
        </w:rPr>
        <w:t>en (z.B. im Dachgeschoss oder Kellergeschoss)</w:t>
      </w:r>
      <w:r w:rsidRPr="002B7200">
        <w:rPr>
          <w:rFonts w:cs="Arial"/>
        </w:rPr>
        <w:t xml:space="preserve"> mehr als 50</w:t>
      </w:r>
      <w:r>
        <w:rPr>
          <w:rFonts w:cs="Arial"/>
        </w:rPr>
        <w:t xml:space="preserve"> </w:t>
      </w:r>
      <w:r w:rsidRPr="002B7200">
        <w:rPr>
          <w:rFonts w:cs="Arial"/>
        </w:rPr>
        <w:t>% der Gebäudegrundfläche, wird ein zusätzliches Geschoss angerechnet (z.B. 4- statt 3-geschossig). Ist die Summe der Flächen mehr als 150</w:t>
      </w:r>
      <w:r>
        <w:rPr>
          <w:rFonts w:cs="Arial"/>
        </w:rPr>
        <w:t> </w:t>
      </w:r>
      <w:r w:rsidRPr="002B7200">
        <w:rPr>
          <w:rFonts w:cs="Arial"/>
        </w:rPr>
        <w:t>% der Gebäudegrundfläche, werden zwei zusätzliche Geschosse angerechnet (z.B. 5- statt 3-geschossig).</w:t>
      </w:r>
    </w:p>
    <w:p w:rsidR="00ED460E" w:rsidRPr="002B7200" w:rsidRDefault="00ED460E" w:rsidP="00D65F57">
      <w:pPr>
        <w:ind w:left="284" w:hanging="284"/>
        <w:rPr>
          <w:rFonts w:cs="Arial"/>
        </w:rPr>
      </w:pPr>
    </w:p>
    <w:p w:rsidR="00ED460E" w:rsidRPr="002B7200" w:rsidRDefault="00ED460E" w:rsidP="00D65F57">
      <w:pPr>
        <w:spacing w:after="120"/>
        <w:ind w:left="284" w:hanging="284"/>
        <w:rPr>
          <w:rFonts w:cs="Arial"/>
        </w:rPr>
      </w:pPr>
      <w:r w:rsidRPr="002B7200">
        <w:rPr>
          <w:rFonts w:cs="Arial"/>
        </w:rPr>
        <w:t>3</w:t>
      </w:r>
      <w:r w:rsidRPr="002B7200">
        <w:rPr>
          <w:rFonts w:cs="Arial"/>
        </w:rPr>
        <w:tab/>
        <w:t xml:space="preserve">Gemäss Art. </w:t>
      </w:r>
      <w:r>
        <w:rPr>
          <w:rFonts w:cs="Arial"/>
        </w:rPr>
        <w:t xml:space="preserve">20 AR </w:t>
      </w:r>
      <w:r w:rsidRPr="002B7200">
        <w:rPr>
          <w:rFonts w:cs="Arial"/>
        </w:rPr>
        <w:t>gilt bei 2- oder 3-geschossigen Gebäuden, dass bei teilweiser Nutzung auf einem weiteren Geschoss die Grundeinteilung erhöht wird (z.B. TZ</w:t>
      </w:r>
      <w:r>
        <w:rPr>
          <w:rFonts w:cs="Arial"/>
        </w:rPr>
        <w:t> </w:t>
      </w:r>
      <w:r w:rsidRPr="002B7200">
        <w:rPr>
          <w:rFonts w:cs="Arial"/>
        </w:rPr>
        <w:t>4 statt TZ</w:t>
      </w:r>
      <w:r>
        <w:rPr>
          <w:rFonts w:cs="Arial"/>
        </w:rPr>
        <w:t> </w:t>
      </w:r>
      <w:r w:rsidRPr="002B7200">
        <w:rPr>
          <w:rFonts w:cs="Arial"/>
        </w:rPr>
        <w:t>3 oder TZ</w:t>
      </w:r>
      <w:r>
        <w:rPr>
          <w:rFonts w:cs="Arial"/>
        </w:rPr>
        <w:t> </w:t>
      </w:r>
      <w:r w:rsidRPr="002B7200">
        <w:rPr>
          <w:rFonts w:cs="Arial"/>
        </w:rPr>
        <w:t>6 statt TZ 5). Es werden dabei folgende Fälle unterschieden:</w:t>
      </w:r>
    </w:p>
    <w:p w:rsidR="00ED460E" w:rsidRPr="002B7200" w:rsidRDefault="00ED460E" w:rsidP="00D65F57">
      <w:pPr>
        <w:spacing w:after="120"/>
        <w:ind w:left="567" w:hanging="283"/>
        <w:rPr>
          <w:rFonts w:cs="Arial"/>
        </w:rPr>
      </w:pPr>
      <w:r w:rsidRPr="002B7200">
        <w:rPr>
          <w:rFonts w:cs="Arial"/>
        </w:rPr>
        <w:t>a.</w:t>
      </w:r>
      <w:r w:rsidRPr="002B7200">
        <w:rPr>
          <w:rFonts w:cs="Arial"/>
        </w:rPr>
        <w:tab/>
        <w:t>Bewohnbare oder gewerblich nutzbare Flächen in einem Geschoss mit einer Gesamtfläche kleiner als 20 m</w:t>
      </w:r>
      <w:r w:rsidRPr="002B7200">
        <w:rPr>
          <w:rFonts w:cs="Arial"/>
          <w:vertAlign w:val="superscript"/>
        </w:rPr>
        <w:t>2</w:t>
      </w:r>
      <w:r w:rsidRPr="002B7200">
        <w:rPr>
          <w:rFonts w:cs="Arial"/>
        </w:rPr>
        <w:t xml:space="preserve"> gelten nicht als teilweise Nutzung auf einem weiteren Geschoss.</w:t>
      </w:r>
    </w:p>
    <w:p w:rsidR="00ED460E" w:rsidRPr="002B7200" w:rsidRDefault="00ED460E" w:rsidP="00D65F57">
      <w:pPr>
        <w:ind w:left="567" w:hanging="283"/>
        <w:rPr>
          <w:rFonts w:cs="Arial"/>
        </w:rPr>
      </w:pPr>
      <w:r w:rsidRPr="002B7200">
        <w:rPr>
          <w:rFonts w:cs="Arial"/>
        </w:rPr>
        <w:lastRenderedPageBreak/>
        <w:t>b.</w:t>
      </w:r>
      <w:r w:rsidRPr="002B7200">
        <w:rPr>
          <w:rFonts w:cs="Arial"/>
        </w:rPr>
        <w:tab/>
        <w:t>Bewohnbare oder gewerblich nutzbare Flächen in einem Geschoss mit einer Gesamtfläche grösser als 20 m</w:t>
      </w:r>
      <w:r w:rsidRPr="002B7200">
        <w:rPr>
          <w:rFonts w:cs="Arial"/>
          <w:vertAlign w:val="superscript"/>
        </w:rPr>
        <w:t>2</w:t>
      </w:r>
      <w:r w:rsidRPr="002B7200">
        <w:rPr>
          <w:rFonts w:cs="Arial"/>
        </w:rPr>
        <w:t xml:space="preserve"> und kleiner als 50 % der Gebäudegrundfläche gelten als teilweise Nutzung auf einem weiteren Geschoss. </w:t>
      </w:r>
    </w:p>
    <w:p w:rsidR="00ED460E" w:rsidRPr="002B7200" w:rsidRDefault="00ED460E" w:rsidP="00D65F57">
      <w:pPr>
        <w:ind w:left="284" w:hanging="284"/>
        <w:rPr>
          <w:rFonts w:cs="Arial"/>
        </w:rPr>
      </w:pPr>
    </w:p>
    <w:p w:rsidR="00ED460E" w:rsidRPr="002B7200" w:rsidRDefault="00ED460E" w:rsidP="00D65F57">
      <w:pPr>
        <w:ind w:left="284" w:hanging="284"/>
        <w:rPr>
          <w:rFonts w:cs="Arial"/>
        </w:rPr>
      </w:pPr>
      <w:r w:rsidRPr="00495FD2">
        <w:rPr>
          <w:rFonts w:cs="Arial"/>
        </w:rPr>
        <w:t>4</w:t>
      </w:r>
      <w:r w:rsidRPr="00495FD2">
        <w:rPr>
          <w:rFonts w:cs="Arial"/>
        </w:rPr>
        <w:tab/>
        <w:t xml:space="preserve">Bei mehreren Gebäuden auf dem Grundstück </w:t>
      </w:r>
      <w:r>
        <w:rPr>
          <w:rFonts w:cs="Arial"/>
        </w:rPr>
        <w:t xml:space="preserve">oder Teilgrundstück </w:t>
      </w:r>
      <w:bookmarkStart w:id="21" w:name="_Hlk56778787"/>
      <w:r>
        <w:rPr>
          <w:rFonts w:cs="Arial"/>
        </w:rPr>
        <w:t xml:space="preserve">kann </w:t>
      </w:r>
      <w:r w:rsidRPr="00495FD2">
        <w:rPr>
          <w:rFonts w:cs="Arial"/>
        </w:rPr>
        <w:t>eine durchschnittliche Geschosszahl rechnerisch ermittelt</w:t>
      </w:r>
      <w:r>
        <w:rPr>
          <w:rFonts w:cs="Arial"/>
        </w:rPr>
        <w:t xml:space="preserve"> werden.</w:t>
      </w:r>
      <w:r w:rsidRPr="00495FD2">
        <w:rPr>
          <w:rFonts w:cs="Arial"/>
        </w:rPr>
        <w:t xml:space="preserve"> Kleinbauten wie Garagen, Autoeinstellhallen usw. </w:t>
      </w:r>
      <w:r>
        <w:rPr>
          <w:rFonts w:cs="Arial"/>
        </w:rPr>
        <w:t xml:space="preserve">werden dabei </w:t>
      </w:r>
      <w:r w:rsidRPr="00495FD2">
        <w:rPr>
          <w:rFonts w:cs="Arial"/>
        </w:rPr>
        <w:t>nicht mitberücksichtigt.</w:t>
      </w:r>
      <w:bookmarkEnd w:id="21"/>
    </w:p>
    <w:p w:rsidR="00ED460E" w:rsidRPr="002B7200" w:rsidRDefault="00ED460E" w:rsidP="00ED460E">
      <w:pPr>
        <w:rPr>
          <w:rFonts w:cs="Arial"/>
        </w:rPr>
      </w:pPr>
    </w:p>
    <w:p w:rsidR="00ED460E" w:rsidRPr="002B7200" w:rsidRDefault="00ED460E" w:rsidP="00ED460E">
      <w:pPr>
        <w:ind w:left="284" w:hanging="284"/>
        <w:rPr>
          <w:rFonts w:cs="Arial"/>
        </w:rPr>
      </w:pPr>
    </w:p>
    <w:p w:rsidR="00ED460E" w:rsidRPr="002B7200" w:rsidRDefault="00ED460E" w:rsidP="00E27A70">
      <w:pPr>
        <w:pStyle w:val="berschrift2"/>
      </w:pPr>
      <w:bookmarkStart w:id="22" w:name="_Toc71123104"/>
      <w:bookmarkStart w:id="23" w:name="_Toc71879417"/>
      <w:r w:rsidRPr="002B7200">
        <w:t>Art. 8</w:t>
      </w:r>
      <w:r w:rsidRPr="002B7200">
        <w:tab/>
        <w:t>Korrektur der Tarifzonen-Grundeinteilung</w:t>
      </w:r>
      <w:bookmarkEnd w:id="22"/>
      <w:bookmarkEnd w:id="23"/>
    </w:p>
    <w:p w:rsidR="00ED460E" w:rsidRPr="002B7200" w:rsidRDefault="00ED460E" w:rsidP="00ED460E">
      <w:pPr>
        <w:tabs>
          <w:tab w:val="left" w:pos="4536"/>
          <w:tab w:val="left" w:pos="6237"/>
        </w:tabs>
        <w:jc w:val="both"/>
        <w:rPr>
          <w:rFonts w:cs="Arial"/>
        </w:rPr>
      </w:pPr>
    </w:p>
    <w:p w:rsidR="00ED460E" w:rsidRPr="002B7200" w:rsidRDefault="00ED460E" w:rsidP="00D65F57">
      <w:pPr>
        <w:tabs>
          <w:tab w:val="left" w:pos="284"/>
          <w:tab w:val="left" w:pos="4536"/>
          <w:tab w:val="left" w:pos="6237"/>
        </w:tabs>
        <w:spacing w:after="120"/>
        <w:ind w:left="284" w:hanging="284"/>
        <w:rPr>
          <w:rFonts w:cs="Arial"/>
        </w:rPr>
      </w:pPr>
      <w:r w:rsidRPr="002B7200">
        <w:rPr>
          <w:rFonts w:cs="Arial"/>
        </w:rPr>
        <w:t>1</w:t>
      </w:r>
      <w:r w:rsidRPr="002B7200">
        <w:rPr>
          <w:rFonts w:cs="Arial"/>
        </w:rPr>
        <w:tab/>
        <w:t xml:space="preserve">Gestützt auf Art. </w:t>
      </w:r>
      <w:r>
        <w:rPr>
          <w:rFonts w:cs="Arial"/>
        </w:rPr>
        <w:t>20</w:t>
      </w:r>
      <w:r w:rsidRPr="002B7200">
        <w:rPr>
          <w:rFonts w:cs="Arial"/>
        </w:rPr>
        <w:t xml:space="preserve"> Abs. 4</w:t>
      </w:r>
      <w:r>
        <w:rPr>
          <w:rFonts w:cs="Arial"/>
        </w:rPr>
        <w:t xml:space="preserve"> AR </w:t>
      </w:r>
      <w:r w:rsidRPr="002B7200">
        <w:rPr>
          <w:rFonts w:cs="Arial"/>
        </w:rPr>
        <w:t>werden</w:t>
      </w:r>
      <w:r>
        <w:rPr>
          <w:rFonts w:cs="Arial"/>
        </w:rPr>
        <w:t xml:space="preserve"> zur Festlegung der Tarifzone (TZ)</w:t>
      </w:r>
      <w:r w:rsidRPr="002B7200">
        <w:rPr>
          <w:rFonts w:cs="Arial"/>
        </w:rPr>
        <w:t xml:space="preserve"> in nachfolgenden Fällen Korrekturen von der </w:t>
      </w:r>
      <w:r>
        <w:rPr>
          <w:rFonts w:cs="Arial"/>
        </w:rPr>
        <w:t>Tarifzonen-</w:t>
      </w:r>
      <w:r w:rsidRPr="002B7200">
        <w:rPr>
          <w:rFonts w:cs="Arial"/>
        </w:rPr>
        <w:t>Grundeinteilung vorgenommen.</w:t>
      </w:r>
      <w:r>
        <w:rPr>
          <w:rFonts w:cs="Arial"/>
        </w:rPr>
        <w:t xml:space="preserve"> </w:t>
      </w:r>
    </w:p>
    <w:p w:rsidR="00ED460E" w:rsidRPr="002B7200" w:rsidRDefault="00ED460E" w:rsidP="00D65F57">
      <w:pPr>
        <w:tabs>
          <w:tab w:val="left" w:pos="4536"/>
          <w:tab w:val="left" w:pos="6237"/>
        </w:tabs>
        <w:rPr>
          <w:rFonts w:cs="Arial"/>
        </w:rPr>
      </w:pPr>
    </w:p>
    <w:p w:rsidR="00ED460E" w:rsidRPr="002B7200" w:rsidRDefault="00ED460E" w:rsidP="00D65F57">
      <w:pPr>
        <w:tabs>
          <w:tab w:val="left" w:pos="284"/>
          <w:tab w:val="left" w:pos="4536"/>
          <w:tab w:val="left" w:pos="6237"/>
        </w:tabs>
        <w:spacing w:after="120"/>
        <w:ind w:left="284" w:hanging="284"/>
        <w:rPr>
          <w:rFonts w:cs="Arial"/>
        </w:rPr>
      </w:pPr>
      <w:r w:rsidRPr="002B7200">
        <w:rPr>
          <w:rFonts w:cs="Arial"/>
        </w:rPr>
        <w:t>2</w:t>
      </w:r>
      <w:r w:rsidRPr="002B7200">
        <w:rPr>
          <w:rFonts w:cs="Arial"/>
        </w:rPr>
        <w:tab/>
      </w:r>
      <w:r w:rsidRPr="002B7200">
        <w:rPr>
          <w:rFonts w:cs="Arial"/>
          <w:b/>
          <w:i/>
        </w:rPr>
        <w:t>Versiegelungsgrad:</w:t>
      </w:r>
      <w:r w:rsidRPr="002B7200">
        <w:rPr>
          <w:rFonts w:cs="Arial"/>
        </w:rPr>
        <w:t xml:space="preserve"> Der Versiegelungsgrad ist der prozentuelle Anteil derjenigen Flächen an der Grundstücksfläche bzw. gebührenpflichtigen Fläche, von denen das anfallende Regenwasser weder versickert noch zurückgehalten und auch nicht über eine private Leitung (Fall c) unten) in ein Gewässer eingeleitet wird. Das ist in der Regel bei Gebäudeflächen, Vorplätzen, Schwimmbädern usw. der Fall. </w:t>
      </w:r>
    </w:p>
    <w:p w:rsidR="00ED460E" w:rsidRPr="002B7200" w:rsidRDefault="00ED460E" w:rsidP="00D65F57">
      <w:pPr>
        <w:tabs>
          <w:tab w:val="left" w:pos="284"/>
          <w:tab w:val="left" w:pos="4536"/>
          <w:tab w:val="left" w:pos="6237"/>
        </w:tabs>
        <w:spacing w:after="120"/>
        <w:ind w:left="284" w:hanging="284"/>
        <w:rPr>
          <w:rFonts w:cs="Arial"/>
        </w:rPr>
      </w:pPr>
      <w:r w:rsidRPr="002B7200">
        <w:rPr>
          <w:rFonts w:cs="Arial"/>
        </w:rPr>
        <w:tab/>
        <w:t>Diejenigen Flächen, welche an Eigenleistungen, die den nachfolgenden Spezifikationen entsprechen, angeschlossen sind, werden als nicht versiegelt betrachtet.</w:t>
      </w:r>
    </w:p>
    <w:p w:rsidR="00ED460E" w:rsidRDefault="00ED460E" w:rsidP="00D65F57">
      <w:pPr>
        <w:tabs>
          <w:tab w:val="left" w:pos="284"/>
          <w:tab w:val="left" w:pos="4536"/>
          <w:tab w:val="left" w:pos="6237"/>
        </w:tabs>
        <w:ind w:left="284"/>
        <w:rPr>
          <w:rFonts w:cs="Arial"/>
        </w:rPr>
      </w:pPr>
      <w:r w:rsidRPr="002B7200">
        <w:rPr>
          <w:rFonts w:cs="Arial"/>
        </w:rPr>
        <w:t>Es wird eine Korrektur der Tarifzonen-Grundeinteilung vorgenommen, wenn der Versiegelungsgrad um mehr als +/- 10 % (absolut von 100 %) vom mittleren Versieglungsgrad der einzelnen Tarifzone</w:t>
      </w:r>
      <w:r>
        <w:rPr>
          <w:rFonts w:cs="Arial"/>
        </w:rPr>
        <w:t>n-Grundeinteilung</w:t>
      </w:r>
      <w:r w:rsidRPr="002B7200">
        <w:rPr>
          <w:rFonts w:cs="Arial"/>
        </w:rPr>
        <w:t xml:space="preserve"> gemäss Art. </w:t>
      </w:r>
      <w:r>
        <w:rPr>
          <w:rFonts w:cs="Arial"/>
        </w:rPr>
        <w:t>20 AR</w:t>
      </w:r>
      <w:r w:rsidRPr="002B7200">
        <w:rPr>
          <w:rFonts w:cs="Arial"/>
        </w:rPr>
        <w:t xml:space="preserve"> abweicht (M</w:t>
      </w:r>
      <w:r>
        <w:rPr>
          <w:rFonts w:cs="Arial"/>
        </w:rPr>
        <w:t>iV</w:t>
      </w:r>
      <w:r w:rsidRPr="002B7200">
        <w:rPr>
          <w:rFonts w:cs="Arial"/>
        </w:rPr>
        <w:t xml:space="preserve"> = mittlerer Versiegelungsgrad).</w:t>
      </w:r>
    </w:p>
    <w:p w:rsidR="00ED460E" w:rsidRDefault="00ED460E" w:rsidP="00D65F57">
      <w:pPr>
        <w:tabs>
          <w:tab w:val="left" w:pos="284"/>
          <w:tab w:val="left" w:pos="4536"/>
          <w:tab w:val="left" w:pos="6237"/>
        </w:tabs>
        <w:ind w:left="284"/>
        <w:rPr>
          <w:rFonts w:cs="Arial"/>
        </w:rPr>
      </w:pPr>
    </w:p>
    <w:p w:rsidR="00ED460E" w:rsidRPr="002B7200" w:rsidRDefault="00ED460E" w:rsidP="00D65F57">
      <w:pPr>
        <w:tabs>
          <w:tab w:val="left" w:pos="284"/>
          <w:tab w:val="left" w:pos="2835"/>
          <w:tab w:val="left" w:pos="4111"/>
          <w:tab w:val="left" w:pos="4962"/>
        </w:tabs>
        <w:spacing w:before="120"/>
        <w:rPr>
          <w:rFonts w:cs="Arial"/>
        </w:rPr>
      </w:pPr>
      <w:r w:rsidRPr="002B7200">
        <w:rPr>
          <w:rFonts w:cs="Arial"/>
        </w:rPr>
        <w:tab/>
        <w:t xml:space="preserve">Abweichung ist kleiner </w:t>
      </w:r>
      <w:r w:rsidRPr="002B7200">
        <w:rPr>
          <w:rFonts w:cs="Arial"/>
        </w:rPr>
        <w:tab/>
        <w:t>+/- 10 %</w:t>
      </w:r>
      <w:r w:rsidRPr="002B7200">
        <w:rPr>
          <w:rFonts w:cs="Arial"/>
        </w:rPr>
        <w:tab/>
      </w:r>
      <w:r w:rsidRPr="002B7200">
        <w:rPr>
          <w:rFonts w:cs="Arial"/>
        </w:rPr>
        <w:tab/>
        <w:t>=</w:t>
      </w:r>
      <w:r w:rsidRPr="002B7200">
        <w:rPr>
          <w:rFonts w:cs="Arial"/>
        </w:rPr>
        <w:tab/>
        <w:t>keine Korrektur</w:t>
      </w:r>
    </w:p>
    <w:p w:rsidR="00ED460E" w:rsidRPr="002B7200" w:rsidRDefault="00ED460E" w:rsidP="00D65F57">
      <w:pPr>
        <w:tabs>
          <w:tab w:val="left" w:pos="284"/>
          <w:tab w:val="left" w:pos="2835"/>
          <w:tab w:val="left" w:pos="4111"/>
          <w:tab w:val="left" w:pos="4962"/>
        </w:tabs>
        <w:rPr>
          <w:rFonts w:cs="Arial"/>
        </w:rPr>
      </w:pPr>
      <w:r w:rsidRPr="002B7200">
        <w:rPr>
          <w:rFonts w:cs="Arial"/>
        </w:rPr>
        <w:tab/>
        <w:t xml:space="preserve">Abweichung ist zwischen </w:t>
      </w:r>
      <w:r w:rsidRPr="002B7200">
        <w:rPr>
          <w:rFonts w:cs="Arial"/>
        </w:rPr>
        <w:tab/>
        <w:t>+/- 10 %  und  +/- 30 %</w:t>
      </w:r>
      <w:r w:rsidRPr="002B7200">
        <w:rPr>
          <w:rFonts w:cs="Arial"/>
        </w:rPr>
        <w:tab/>
        <w:t>=</w:t>
      </w:r>
      <w:r w:rsidRPr="002B7200">
        <w:rPr>
          <w:rFonts w:cs="Arial"/>
        </w:rPr>
        <w:tab/>
        <w:t xml:space="preserve">+/-  1 </w:t>
      </w:r>
      <w:r>
        <w:rPr>
          <w:rFonts w:cs="Arial"/>
        </w:rPr>
        <w:t>TZ</w:t>
      </w:r>
    </w:p>
    <w:p w:rsidR="00ED460E" w:rsidRPr="002B7200" w:rsidRDefault="00ED460E" w:rsidP="00D65F57">
      <w:pPr>
        <w:tabs>
          <w:tab w:val="left" w:pos="284"/>
          <w:tab w:val="left" w:pos="2835"/>
          <w:tab w:val="left" w:pos="4111"/>
          <w:tab w:val="left" w:pos="4962"/>
        </w:tabs>
        <w:rPr>
          <w:rFonts w:cs="Arial"/>
        </w:rPr>
      </w:pPr>
      <w:r w:rsidRPr="002B7200">
        <w:rPr>
          <w:rFonts w:cs="Arial"/>
        </w:rPr>
        <w:tab/>
        <w:t xml:space="preserve">Abweichung ist grösser </w:t>
      </w:r>
      <w:r w:rsidRPr="002B7200">
        <w:rPr>
          <w:rFonts w:cs="Arial"/>
        </w:rPr>
        <w:tab/>
        <w:t xml:space="preserve">+/- 30 %  </w:t>
      </w:r>
      <w:r w:rsidRPr="002B7200">
        <w:rPr>
          <w:rFonts w:cs="Arial"/>
        </w:rPr>
        <w:tab/>
      </w:r>
      <w:r w:rsidRPr="002B7200">
        <w:rPr>
          <w:rFonts w:cs="Arial"/>
        </w:rPr>
        <w:tab/>
        <w:t>=</w:t>
      </w:r>
      <w:r w:rsidRPr="002B7200">
        <w:rPr>
          <w:rFonts w:cs="Arial"/>
        </w:rPr>
        <w:tab/>
        <w:t xml:space="preserve">+/-  2 </w:t>
      </w:r>
      <w:r>
        <w:rPr>
          <w:rFonts w:cs="Arial"/>
        </w:rPr>
        <w:t>TZ</w:t>
      </w:r>
    </w:p>
    <w:p w:rsidR="00ED460E" w:rsidRPr="002B7200" w:rsidRDefault="00ED460E" w:rsidP="00ED460E">
      <w:pPr>
        <w:rPr>
          <w:rFonts w:cs="Arial"/>
        </w:rPr>
      </w:pPr>
    </w:p>
    <w:p w:rsidR="00ED460E" w:rsidRPr="002B7200" w:rsidRDefault="00ED460E" w:rsidP="00ED460E">
      <w:pPr>
        <w:tabs>
          <w:tab w:val="left" w:pos="284"/>
          <w:tab w:val="left" w:pos="3119"/>
          <w:tab w:val="left" w:pos="5670"/>
          <w:tab w:val="left" w:pos="6096"/>
        </w:tabs>
        <w:jc w:val="both"/>
        <w:rPr>
          <w:rFonts w:cs="Arial"/>
        </w:rPr>
      </w:pPr>
      <w:r w:rsidRPr="002B7200">
        <w:rPr>
          <w:rFonts w:cs="Arial"/>
          <w:noProof/>
          <w:sz w:val="22"/>
        </w:rPr>
        <mc:AlternateContent>
          <mc:Choice Requires="wpc">
            <w:drawing>
              <wp:inline distT="0" distB="0" distL="0" distR="0" wp14:anchorId="5E31FA93" wp14:editId="3E66C526">
                <wp:extent cx="5760085" cy="1494155"/>
                <wp:effectExtent l="0" t="0" r="12065" b="10795"/>
                <wp:docPr id="31"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 name="AutoShape 4"/>
                        <wps:cNvCnPr>
                          <a:cxnSpLocks noChangeShapeType="1"/>
                        </wps:cNvCnPr>
                        <wps:spPr bwMode="auto">
                          <a:xfrm>
                            <a:off x="114935" y="574675"/>
                            <a:ext cx="5516880" cy="635"/>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wps:wsp>
                        <wps:cNvPr id="10" name="Text Box 5"/>
                        <wps:cNvSpPr txBox="1">
                          <a:spLocks noChangeArrowheads="1"/>
                        </wps:cNvSpPr>
                        <wps:spPr bwMode="auto">
                          <a:xfrm>
                            <a:off x="2635552" y="39756"/>
                            <a:ext cx="459740"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4B223A" w:rsidRDefault="00055A70" w:rsidP="00ED460E">
                              <w:pPr>
                                <w:spacing w:before="120"/>
                                <w:jc w:val="center"/>
                                <w:rPr>
                                  <w:rFonts w:cs="Arial"/>
                                  <w:b/>
                                </w:rPr>
                              </w:pPr>
                              <w:r>
                                <w:rPr>
                                  <w:rFonts w:cs="Arial"/>
                                  <w:b/>
                                </w:rPr>
                                <w:t>MiV</w:t>
                              </w:r>
                            </w:p>
                          </w:txbxContent>
                        </wps:txbx>
                        <wps:bodyPr rot="0" vert="horz" wrap="square" lIns="0" tIns="0" rIns="0" bIns="0" anchor="t" anchorCtr="0" upright="1">
                          <a:noAutofit/>
                        </wps:bodyPr>
                      </wps:wsp>
                      <wps:wsp>
                        <wps:cNvPr id="11" name="AutoShape 6"/>
                        <wps:cNvCnPr>
                          <a:cxnSpLocks noChangeShapeType="1"/>
                        </wps:cNvCnPr>
                        <wps:spPr bwMode="auto">
                          <a:xfrm>
                            <a:off x="2873375" y="278765"/>
                            <a:ext cx="635" cy="52578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a:off x="3677920" y="278765"/>
                            <a:ext cx="635" cy="525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4481830" y="278765"/>
                            <a:ext cx="635" cy="525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9"/>
                        <wps:cNvCnPr>
                          <a:cxnSpLocks noChangeShapeType="1"/>
                        </wps:cNvCnPr>
                        <wps:spPr bwMode="auto">
                          <a:xfrm>
                            <a:off x="2068195" y="278765"/>
                            <a:ext cx="635" cy="525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0"/>
                        <wps:cNvCnPr>
                          <a:cxnSpLocks noChangeShapeType="1"/>
                        </wps:cNvCnPr>
                        <wps:spPr bwMode="auto">
                          <a:xfrm>
                            <a:off x="1264285" y="278765"/>
                            <a:ext cx="635" cy="525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2183765" y="379095"/>
                            <a:ext cx="5746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b/>
                                </w:rPr>
                              </w:pPr>
                              <w:r w:rsidRPr="00CD6558">
                                <w:rPr>
                                  <w:rFonts w:cs="Arial"/>
                                  <w:b/>
                                </w:rPr>
                                <w:t>Toleranz</w:t>
                              </w:r>
                            </w:p>
                          </w:txbxContent>
                        </wps:txbx>
                        <wps:bodyPr rot="0" vert="horz" wrap="square" lIns="0" tIns="0" rIns="0" bIns="0" anchor="t" anchorCtr="0" upright="1">
                          <a:spAutoFit/>
                        </wps:bodyPr>
                      </wps:wsp>
                      <wps:wsp>
                        <wps:cNvPr id="17" name="Text Box 12"/>
                        <wps:cNvSpPr txBox="1">
                          <a:spLocks noChangeArrowheads="1"/>
                        </wps:cNvSpPr>
                        <wps:spPr bwMode="auto">
                          <a:xfrm>
                            <a:off x="2988310" y="379095"/>
                            <a:ext cx="5746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b/>
                                </w:rPr>
                              </w:pPr>
                              <w:r w:rsidRPr="00CD6558">
                                <w:rPr>
                                  <w:rFonts w:cs="Arial"/>
                                  <w:b/>
                                </w:rPr>
                                <w:t>Toleranz</w:t>
                              </w:r>
                            </w:p>
                          </w:txbxContent>
                        </wps:txbx>
                        <wps:bodyPr rot="0" vert="horz" wrap="square" lIns="0" tIns="0" rIns="0" bIns="0" anchor="t" anchorCtr="0" upright="1">
                          <a:spAutoFit/>
                        </wps:bodyPr>
                      </wps:wsp>
                      <wps:wsp>
                        <wps:cNvPr id="18" name="Text Box 13"/>
                        <wps:cNvSpPr txBox="1">
                          <a:spLocks noChangeArrowheads="1"/>
                        </wps:cNvSpPr>
                        <wps:spPr bwMode="auto">
                          <a:xfrm>
                            <a:off x="3792855" y="379095"/>
                            <a:ext cx="57467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b/>
                                </w:rPr>
                              </w:pPr>
                              <w:r w:rsidRPr="00CD6558">
                                <w:rPr>
                                  <w:rFonts w:cs="Arial"/>
                                  <w:b/>
                                </w:rPr>
                                <w:t>+ 1 TZ</w:t>
                              </w:r>
                            </w:p>
                          </w:txbxContent>
                        </wps:txbx>
                        <wps:bodyPr rot="0" vert="horz" wrap="square" lIns="0" tIns="0" rIns="0" bIns="0" anchor="t" anchorCtr="0" upright="1">
                          <a:spAutoFit/>
                        </wps:bodyPr>
                      </wps:wsp>
                      <wps:wsp>
                        <wps:cNvPr id="20" name="Text Box 14"/>
                        <wps:cNvSpPr txBox="1">
                          <a:spLocks noChangeArrowheads="1"/>
                        </wps:cNvSpPr>
                        <wps:spPr bwMode="auto">
                          <a:xfrm>
                            <a:off x="1379220" y="379095"/>
                            <a:ext cx="57467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b/>
                                </w:rPr>
                              </w:pPr>
                              <w:r w:rsidRPr="00CD6558">
                                <w:rPr>
                                  <w:rFonts w:cs="Arial"/>
                                  <w:b/>
                                </w:rPr>
                                <w:t>- 1 TZ</w:t>
                              </w:r>
                            </w:p>
                          </w:txbxContent>
                        </wps:txbx>
                        <wps:bodyPr rot="0" vert="horz" wrap="square" lIns="0" tIns="0" rIns="0" bIns="0" anchor="t" anchorCtr="0" upright="1">
                          <a:spAutoFit/>
                        </wps:bodyPr>
                      </wps:wsp>
                      <wps:wsp>
                        <wps:cNvPr id="21" name="Text Box 15"/>
                        <wps:cNvSpPr txBox="1">
                          <a:spLocks noChangeArrowheads="1"/>
                        </wps:cNvSpPr>
                        <wps:spPr bwMode="auto">
                          <a:xfrm>
                            <a:off x="4597400" y="379095"/>
                            <a:ext cx="57467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b/>
                                </w:rPr>
                              </w:pPr>
                              <w:r w:rsidRPr="00CD6558">
                                <w:rPr>
                                  <w:rFonts w:cs="Arial"/>
                                  <w:b/>
                                </w:rPr>
                                <w:t>+ 2 TZ</w:t>
                              </w:r>
                            </w:p>
                          </w:txbxContent>
                        </wps:txbx>
                        <wps:bodyPr rot="0" vert="horz" wrap="square" lIns="0" tIns="0" rIns="0" bIns="0" anchor="t" anchorCtr="0" upright="1">
                          <a:spAutoFit/>
                        </wps:bodyPr>
                      </wps:wsp>
                      <wps:wsp>
                        <wps:cNvPr id="22" name="Text Box 16"/>
                        <wps:cNvSpPr txBox="1">
                          <a:spLocks noChangeArrowheads="1"/>
                        </wps:cNvSpPr>
                        <wps:spPr bwMode="auto">
                          <a:xfrm>
                            <a:off x="574675" y="379095"/>
                            <a:ext cx="57467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b/>
                                  <w:szCs w:val="22"/>
                                </w:rPr>
                              </w:pPr>
                              <w:r w:rsidRPr="00CD6558">
                                <w:rPr>
                                  <w:rFonts w:cs="Arial"/>
                                  <w:b/>
                                  <w:szCs w:val="22"/>
                                </w:rPr>
                                <w:t>- 2 TZ</w:t>
                              </w:r>
                            </w:p>
                          </w:txbxContent>
                        </wps:txbx>
                        <wps:bodyPr rot="0" vert="horz" wrap="square" lIns="0" tIns="0" rIns="0" bIns="0" anchor="t" anchorCtr="0" upright="1">
                          <a:spAutoFit/>
                        </wps:bodyPr>
                      </wps:wsp>
                      <wps:wsp>
                        <wps:cNvPr id="23" name="Text Box 17"/>
                        <wps:cNvSpPr txBox="1">
                          <a:spLocks noChangeArrowheads="1"/>
                        </wps:cNvSpPr>
                        <wps:spPr bwMode="auto">
                          <a:xfrm>
                            <a:off x="1143000" y="914400"/>
                            <a:ext cx="91948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Pr>
                                  <w:rFonts w:cs="Arial"/>
                                  <w:i/>
                                  <w:sz w:val="16"/>
                                  <w:szCs w:val="18"/>
                                </w:rPr>
                                <w:t>≥</w:t>
                              </w:r>
                              <w:r w:rsidRPr="00CD6558">
                                <w:rPr>
                                  <w:rFonts w:cs="Arial"/>
                                  <w:i/>
                                  <w:sz w:val="16"/>
                                  <w:szCs w:val="18"/>
                                </w:rPr>
                                <w:t xml:space="preserve"> -10</w:t>
                              </w:r>
                              <w:r>
                                <w:rPr>
                                  <w:rFonts w:cs="Arial"/>
                                  <w:i/>
                                  <w:sz w:val="16"/>
                                  <w:szCs w:val="18"/>
                                </w:rPr>
                                <w:t xml:space="preserve"> </w:t>
                              </w:r>
                              <w:r w:rsidRPr="00CD6558">
                                <w:rPr>
                                  <w:rFonts w:cs="Arial"/>
                                  <w:i/>
                                  <w:sz w:val="16"/>
                                  <w:szCs w:val="18"/>
                                </w:rPr>
                                <w:t>%</w:t>
                              </w:r>
                            </w:p>
                          </w:txbxContent>
                        </wps:txbx>
                        <wps:bodyPr rot="0" vert="horz" wrap="square" lIns="0" tIns="0" rIns="0" bIns="0" anchor="t" anchorCtr="0" upright="1">
                          <a:spAutoFit/>
                        </wps:bodyPr>
                      </wps:wsp>
                      <wps:wsp>
                        <wps:cNvPr id="24" name="Text Box 18"/>
                        <wps:cNvSpPr txBox="1">
                          <a:spLocks noChangeArrowheads="1"/>
                        </wps:cNvSpPr>
                        <wps:spPr bwMode="auto">
                          <a:xfrm>
                            <a:off x="228600" y="926465"/>
                            <a:ext cx="91948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i/>
                                  <w:sz w:val="16"/>
                                  <w:szCs w:val="18"/>
                                </w:rPr>
                              </w:pPr>
                              <w:r w:rsidRPr="00CD6558">
                                <w:rPr>
                                  <w:rFonts w:cs="Arial"/>
                                  <w:i/>
                                  <w:sz w:val="16"/>
                                  <w:szCs w:val="18"/>
                                </w:rPr>
                                <w:t>Abweichung</w:t>
                              </w:r>
                            </w:p>
                            <w:p w:rsidR="00055A70" w:rsidRPr="00CD6558" w:rsidRDefault="00055A70" w:rsidP="00ED460E">
                              <w:pPr>
                                <w:jc w:val="center"/>
                                <w:rPr>
                                  <w:rFonts w:cs="Arial"/>
                                  <w:i/>
                                  <w:sz w:val="16"/>
                                  <w:szCs w:val="18"/>
                                </w:rPr>
                              </w:pPr>
                              <w:r>
                                <w:rPr>
                                  <w:rFonts w:cs="Arial"/>
                                  <w:i/>
                                  <w:sz w:val="16"/>
                                  <w:szCs w:val="18"/>
                                </w:rPr>
                                <w:t>≥</w:t>
                              </w:r>
                              <w:r w:rsidRPr="00CD6558">
                                <w:rPr>
                                  <w:rFonts w:cs="Arial"/>
                                  <w:i/>
                                  <w:sz w:val="16"/>
                                  <w:szCs w:val="18"/>
                                </w:rPr>
                                <w:t xml:space="preserve"> -30</w:t>
                              </w:r>
                              <w:r>
                                <w:rPr>
                                  <w:rFonts w:cs="Arial"/>
                                  <w:i/>
                                  <w:sz w:val="16"/>
                                  <w:szCs w:val="18"/>
                                </w:rPr>
                                <w:t xml:space="preserve"> </w:t>
                              </w:r>
                              <w:r w:rsidRPr="00CD6558">
                                <w:rPr>
                                  <w:rFonts w:cs="Arial"/>
                                  <w:i/>
                                  <w:sz w:val="16"/>
                                  <w:szCs w:val="18"/>
                                </w:rPr>
                                <w:t>%</w:t>
                              </w:r>
                            </w:p>
                          </w:txbxContent>
                        </wps:txbx>
                        <wps:bodyPr rot="0" vert="horz" wrap="square" lIns="0" tIns="0" rIns="0" bIns="0" anchor="t" anchorCtr="0" upright="1">
                          <a:spAutoFit/>
                        </wps:bodyPr>
                      </wps:wsp>
                      <wps:wsp>
                        <wps:cNvPr id="25" name="Text Box 19"/>
                        <wps:cNvSpPr txBox="1">
                          <a:spLocks noChangeArrowheads="1"/>
                        </wps:cNvSpPr>
                        <wps:spPr bwMode="auto">
                          <a:xfrm>
                            <a:off x="3652520" y="914400"/>
                            <a:ext cx="91948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sidRPr="00CD6558">
                                <w:rPr>
                                  <w:rFonts w:cs="Arial"/>
                                  <w:i/>
                                  <w:sz w:val="16"/>
                                  <w:szCs w:val="18"/>
                                </w:rPr>
                                <w:t>&gt;+10</w:t>
                              </w:r>
                              <w:r>
                                <w:rPr>
                                  <w:rFonts w:cs="Arial"/>
                                  <w:i/>
                                  <w:sz w:val="16"/>
                                  <w:szCs w:val="18"/>
                                </w:rPr>
                                <w:t xml:space="preserve"> </w:t>
                              </w:r>
                              <w:r w:rsidRPr="00CD6558">
                                <w:rPr>
                                  <w:rFonts w:cs="Arial"/>
                                  <w:i/>
                                  <w:sz w:val="16"/>
                                  <w:szCs w:val="18"/>
                                </w:rPr>
                                <w:t>%</w:t>
                              </w:r>
                            </w:p>
                          </w:txbxContent>
                        </wps:txbx>
                        <wps:bodyPr rot="0" vert="horz" wrap="square" lIns="0" tIns="0" rIns="0" bIns="0" anchor="t" anchorCtr="0" upright="1">
                          <a:spAutoFit/>
                        </wps:bodyPr>
                      </wps:wsp>
                      <wps:wsp>
                        <wps:cNvPr id="26" name="Text Box 20"/>
                        <wps:cNvSpPr txBox="1">
                          <a:spLocks noChangeArrowheads="1"/>
                        </wps:cNvSpPr>
                        <wps:spPr bwMode="auto">
                          <a:xfrm>
                            <a:off x="4452620" y="914400"/>
                            <a:ext cx="91948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sidRPr="00CD6558">
                                <w:rPr>
                                  <w:rFonts w:cs="Arial"/>
                                  <w:i/>
                                  <w:sz w:val="16"/>
                                  <w:szCs w:val="18"/>
                                </w:rPr>
                                <w:t>&gt; +30</w:t>
                              </w:r>
                              <w:r>
                                <w:rPr>
                                  <w:rFonts w:cs="Arial"/>
                                  <w:i/>
                                  <w:sz w:val="16"/>
                                  <w:szCs w:val="18"/>
                                </w:rPr>
                                <w:t xml:space="preserve"> </w:t>
                              </w:r>
                              <w:r w:rsidRPr="00CD6558">
                                <w:rPr>
                                  <w:rFonts w:cs="Arial"/>
                                  <w:i/>
                                  <w:sz w:val="16"/>
                                  <w:szCs w:val="18"/>
                                </w:rPr>
                                <w:t>%</w:t>
                              </w:r>
                            </w:p>
                          </w:txbxContent>
                        </wps:txbx>
                        <wps:bodyPr rot="0" vert="horz" wrap="square" lIns="0" tIns="0" rIns="0" bIns="0" anchor="t" anchorCtr="0" upright="1">
                          <a:spAutoFit/>
                        </wps:bodyPr>
                      </wps:wsp>
                      <wps:wsp>
                        <wps:cNvPr id="27" name="Text Box 21"/>
                        <wps:cNvSpPr txBox="1">
                          <a:spLocks noChangeArrowheads="1"/>
                        </wps:cNvSpPr>
                        <wps:spPr bwMode="auto">
                          <a:xfrm>
                            <a:off x="1379220" y="1256665"/>
                            <a:ext cx="2988310"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sz w:val="16"/>
                                  <w:szCs w:val="18"/>
                                </w:rPr>
                              </w:pPr>
                              <w:r>
                                <w:rPr>
                                  <w:rFonts w:cs="Arial"/>
                                  <w:sz w:val="16"/>
                                  <w:szCs w:val="18"/>
                                </w:rPr>
                                <w:t>MiV</w:t>
                              </w:r>
                              <w:r w:rsidRPr="00CD6558">
                                <w:rPr>
                                  <w:rFonts w:cs="Arial"/>
                                  <w:sz w:val="16"/>
                                  <w:szCs w:val="18"/>
                                </w:rPr>
                                <w:t xml:space="preserve"> = Mittlerer Versiegelungsgrad gemäss Art. </w:t>
                              </w:r>
                              <w:r>
                                <w:rPr>
                                  <w:rFonts w:cs="Arial"/>
                                  <w:sz w:val="16"/>
                                  <w:szCs w:val="18"/>
                                </w:rPr>
                                <w:t>20</w:t>
                              </w:r>
                              <w:r w:rsidRPr="00CD6558">
                                <w:rPr>
                                  <w:rFonts w:cs="Arial"/>
                                  <w:sz w:val="16"/>
                                  <w:szCs w:val="18"/>
                                </w:rPr>
                                <w:t xml:space="preserve"> </w:t>
                              </w:r>
                              <w:r>
                                <w:rPr>
                                  <w:rFonts w:cs="Arial"/>
                                  <w:sz w:val="16"/>
                                  <w:szCs w:val="18"/>
                                </w:rPr>
                                <w:t>AR</w:t>
                              </w:r>
                            </w:p>
                          </w:txbxContent>
                        </wps:txbx>
                        <wps:bodyPr rot="0" vert="horz" wrap="square" lIns="0" tIns="0" rIns="0" bIns="0" anchor="t" anchorCtr="0" upright="1">
                          <a:noAutofit/>
                        </wps:bodyPr>
                      </wps:wsp>
                      <wps:wsp>
                        <wps:cNvPr id="28" name="Text Box 22"/>
                        <wps:cNvSpPr txBox="1">
                          <a:spLocks noChangeArrowheads="1"/>
                        </wps:cNvSpPr>
                        <wps:spPr bwMode="auto">
                          <a:xfrm>
                            <a:off x="4779645" y="647065"/>
                            <a:ext cx="86423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06810" w:rsidRDefault="00055A70" w:rsidP="00ED460E">
                              <w:pPr>
                                <w:jc w:val="center"/>
                                <w:rPr>
                                  <w:rFonts w:cs="Arial"/>
                                  <w:color w:val="1F497D"/>
                                  <w:sz w:val="16"/>
                                  <w:szCs w:val="16"/>
                                </w:rPr>
                              </w:pPr>
                              <w:r w:rsidRPr="00C06810">
                                <w:rPr>
                                  <w:rFonts w:cs="Arial"/>
                                  <w:color w:val="1F497D"/>
                                  <w:sz w:val="16"/>
                                  <w:szCs w:val="16"/>
                                </w:rPr>
                                <w:t>Versiegelungsgrad</w:t>
                              </w:r>
                            </w:p>
                            <w:p w:rsidR="00055A70" w:rsidRPr="00C06810" w:rsidRDefault="00055A70" w:rsidP="00ED460E">
                              <w:pPr>
                                <w:jc w:val="center"/>
                                <w:rPr>
                                  <w:rFonts w:cs="Arial"/>
                                  <w:color w:val="1F497D"/>
                                  <w:sz w:val="16"/>
                                  <w:szCs w:val="16"/>
                                </w:rPr>
                              </w:pPr>
                              <w:r w:rsidRPr="00C06810">
                                <w:rPr>
                                  <w:rFonts w:cs="Arial"/>
                                  <w:color w:val="1F497D"/>
                                  <w:sz w:val="16"/>
                                  <w:szCs w:val="16"/>
                                </w:rPr>
                                <w:t>des Grundstücks</w:t>
                              </w:r>
                            </w:p>
                          </w:txbxContent>
                        </wps:txbx>
                        <wps:bodyPr rot="0" vert="horz" wrap="square" lIns="0" tIns="0" rIns="0" bIns="0" anchor="t" anchorCtr="0" upright="1">
                          <a:noAutofit/>
                        </wps:bodyPr>
                      </wps:wsp>
                      <wps:wsp>
                        <wps:cNvPr id="29" name="Text Box 23"/>
                        <wps:cNvSpPr txBox="1">
                          <a:spLocks noChangeArrowheads="1"/>
                        </wps:cNvSpPr>
                        <wps:spPr bwMode="auto">
                          <a:xfrm>
                            <a:off x="1943100" y="926465"/>
                            <a:ext cx="91948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sidRPr="00CD6558">
                                <w:rPr>
                                  <w:rFonts w:cs="Arial"/>
                                  <w:i/>
                                  <w:sz w:val="16"/>
                                  <w:szCs w:val="18"/>
                                </w:rPr>
                                <w:t>&lt; -10</w:t>
                              </w:r>
                              <w:r>
                                <w:rPr>
                                  <w:rFonts w:cs="Arial"/>
                                  <w:i/>
                                  <w:sz w:val="16"/>
                                  <w:szCs w:val="18"/>
                                </w:rPr>
                                <w:t xml:space="preserve"> </w:t>
                              </w:r>
                              <w:r w:rsidRPr="00CD6558">
                                <w:rPr>
                                  <w:rFonts w:cs="Arial"/>
                                  <w:i/>
                                  <w:sz w:val="16"/>
                                  <w:szCs w:val="18"/>
                                </w:rPr>
                                <w:t>%</w:t>
                              </w:r>
                            </w:p>
                          </w:txbxContent>
                        </wps:txbx>
                        <wps:bodyPr rot="0" vert="horz" wrap="square" lIns="0" tIns="0" rIns="0" bIns="0" anchor="t" anchorCtr="0" upright="1">
                          <a:spAutoFit/>
                        </wps:bodyPr>
                      </wps:wsp>
                      <wps:wsp>
                        <wps:cNvPr id="30" name="Text Box 24"/>
                        <wps:cNvSpPr txBox="1">
                          <a:spLocks noChangeArrowheads="1"/>
                        </wps:cNvSpPr>
                        <wps:spPr bwMode="auto">
                          <a:xfrm>
                            <a:off x="2857500" y="926465"/>
                            <a:ext cx="91948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Pr>
                                  <w:rFonts w:cs="Arial"/>
                                  <w:i/>
                                  <w:sz w:val="16"/>
                                  <w:szCs w:val="18"/>
                                </w:rPr>
                                <w:t>≤</w:t>
                              </w:r>
                              <w:r w:rsidRPr="00CD6558">
                                <w:rPr>
                                  <w:rFonts w:cs="Arial"/>
                                  <w:i/>
                                  <w:sz w:val="16"/>
                                  <w:szCs w:val="18"/>
                                </w:rPr>
                                <w:t xml:space="preserve"> +10</w:t>
                              </w:r>
                              <w:r>
                                <w:rPr>
                                  <w:rFonts w:cs="Arial"/>
                                  <w:i/>
                                  <w:sz w:val="16"/>
                                  <w:szCs w:val="18"/>
                                </w:rPr>
                                <w:t xml:space="preserve"> </w:t>
                              </w:r>
                              <w:r w:rsidRPr="00CD6558">
                                <w:rPr>
                                  <w:rFonts w:cs="Arial"/>
                                  <w:i/>
                                  <w:sz w:val="16"/>
                                  <w:szCs w:val="18"/>
                                </w:rPr>
                                <w:t>%</w:t>
                              </w:r>
                            </w:p>
                          </w:txbxContent>
                        </wps:txbx>
                        <wps:bodyPr rot="0" vert="horz" wrap="square" lIns="0" tIns="0" rIns="0" bIns="0" anchor="t" anchorCtr="0" upright="1">
                          <a:spAutoFit/>
                        </wps:bodyPr>
                      </wps:wsp>
                    </wpc:wpc>
                  </a:graphicData>
                </a:graphic>
              </wp:inline>
            </w:drawing>
          </mc:Choice>
          <mc:Fallback>
            <w:pict>
              <v:group w14:anchorId="5E31FA93" id="Zeichenbereich 2" o:spid="_x0000_s1026" editas="canvas" style="width:453.55pt;height:117.65pt;mso-position-horizontal-relative:char;mso-position-vertical-relative:line" coordsize="57600,1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14941;visibility:visible;mso-wrap-style:square" stroked="t">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1149;top:5746;width:5516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" strokecolor="#1f497d">
                  <v:stroke endarrow="block"/>
                </v:shape>
                <v:shapetype id="_x0000_t202" coordsize="21600,21600" o:spt="202" path="m,l,21600r21600,l21600,xe">
                  <v:stroke joinstyle="miter"/>
                  <v:path gradientshapeok="t" o:connecttype="rect"/>
                </v:shapetype>
                <v:shape id="Text Box 5" o:spid="_x0000_s1029" type="#_x0000_t202" style="position:absolute;left:26355;top:397;width:4597;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055A70" w:rsidRPr="004B223A" w:rsidRDefault="00055A70" w:rsidP="00ED460E">
                        <w:pPr>
                          <w:spacing w:before="120"/>
                          <w:jc w:val="center"/>
                          <w:rPr>
                            <w:rFonts w:cs="Arial"/>
                            <w:b/>
                          </w:rPr>
                        </w:pPr>
                        <w:r>
                          <w:rPr>
                            <w:rFonts w:cs="Arial"/>
                            <w:b/>
                          </w:rPr>
                          <w:t>MiV</w:t>
                        </w:r>
                      </w:p>
                    </w:txbxContent>
                  </v:textbox>
                </v:shape>
                <v:shape id="AutoShape 6" o:spid="_x0000_s1030" type="#_x0000_t32" style="position:absolute;left:28733;top:2787;width:7;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" strokeweight="3pt"/>
                <v:shape id="AutoShape 7" o:spid="_x0000_s1031" type="#_x0000_t32" style="position:absolute;left:36779;top:2787;width:6;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" strokeweight="1.5pt"/>
                <v:shape id="AutoShape 8" o:spid="_x0000_s1032" type="#_x0000_t32" style="position:absolute;left:44818;top:2787;width:6;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9" o:spid="_x0000_s1033" type="#_x0000_t32" style="position:absolute;left:20681;top:2787;width:7;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shape id="AutoShape 10" o:spid="_x0000_s1034" type="#_x0000_t32" style="position:absolute;left:12642;top:2787;width:7;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wlvwAAANsAAAAPAAAAZHJzL2Rvd25yZXYueG1sRE9Ni8Iw&#10;EL0L/ocwwt5sqo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BhXSwlvwAAANsAAAAPAAAAAAAA&#10;AAAAAAAAAAcCAABkcnMvZG93bnJldi54bWxQSwUGAAAAAAMAAwC3AAAA8wIAAAAA&#10;" strokeweight="1.5pt"/>
                <v:shape id="Text Box 11" o:spid="_x0000_s1035" type="#_x0000_t202" style="position:absolute;left:21837;top:3790;width:5747;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rsidR="00055A70" w:rsidRPr="00CD6558" w:rsidRDefault="00055A70" w:rsidP="00ED460E">
                        <w:pPr>
                          <w:jc w:val="center"/>
                          <w:rPr>
                            <w:rFonts w:cs="Arial"/>
                            <w:b/>
                          </w:rPr>
                        </w:pPr>
                        <w:r w:rsidRPr="00CD6558">
                          <w:rPr>
                            <w:rFonts w:cs="Arial"/>
                            <w:b/>
                          </w:rPr>
                          <w:t>Toleranz</w:t>
                        </w:r>
                      </w:p>
                    </w:txbxContent>
                  </v:textbox>
                </v:shape>
                <v:shape id="Text Box 12" o:spid="_x0000_s1036" type="#_x0000_t202" style="position:absolute;left:29883;top:3790;width:574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" filled="f" stroked="f">
                  <v:textbox style="mso-fit-shape-to-text:t" inset="0,0,0,0">
                    <w:txbxContent>
                      <w:p w:rsidR="00055A70" w:rsidRPr="00CD6558" w:rsidRDefault="00055A70" w:rsidP="00ED460E">
                        <w:pPr>
                          <w:jc w:val="center"/>
                          <w:rPr>
                            <w:rFonts w:cs="Arial"/>
                            <w:b/>
                          </w:rPr>
                        </w:pPr>
                        <w:r w:rsidRPr="00CD6558">
                          <w:rPr>
                            <w:rFonts w:cs="Arial"/>
                            <w:b/>
                          </w:rPr>
                          <w:t>Toleranz</w:t>
                        </w:r>
                      </w:p>
                    </w:txbxContent>
                  </v:textbox>
                </v:shape>
                <v:shape id="Text Box 13" o:spid="_x0000_s1037" type="#_x0000_t202" style="position:absolute;left:37928;top:3790;width:5747;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5fA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IGVX2QAvbwCAAD//wMAUEsBAi0AFAAGAAgAAAAhANvh9svuAAAAhQEAABMAAAAAAAAA&#10;AAAAAAAAAAAAAFtDb250ZW50X1R5cGVzXS54bWxQSwECLQAUAAYACAAAACEAWvQsW78AAAAVAQAA&#10;CwAAAAAAAAAAAAAAAAAfAQAAX3JlbHMvLnJlbHNQSwECLQAUAAYACAAAACEA6AeXwMYAAADbAAAA&#10;DwAAAAAAAAAAAAAAAAAHAgAAZHJzL2Rvd25yZXYueG1sUEsFBgAAAAADAAMAtwAAAPoCAAAAAA==&#10;" stroked="f">
                  <v:textbox style="mso-fit-shape-to-text:t" inset="0,0,0,0">
                    <w:txbxContent>
                      <w:p w:rsidR="00055A70" w:rsidRPr="00CD6558" w:rsidRDefault="00055A70" w:rsidP="00ED460E">
                        <w:pPr>
                          <w:jc w:val="center"/>
                          <w:rPr>
                            <w:rFonts w:cs="Arial"/>
                            <w:b/>
                          </w:rPr>
                        </w:pPr>
                        <w:r w:rsidRPr="00CD6558">
                          <w:rPr>
                            <w:rFonts w:cs="Arial"/>
                            <w:b/>
                          </w:rPr>
                          <w:t>+ 1 TZ</w:t>
                        </w:r>
                      </w:p>
                    </w:txbxContent>
                  </v:textbox>
                </v:shape>
                <v:shape id="Text Box 14" o:spid="_x0000_s1038" type="#_x0000_t202" style="position:absolute;left:13792;top:3790;width:574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" stroked="f">
                  <v:textbox style="mso-fit-shape-to-text:t" inset="0,0,0,0">
                    <w:txbxContent>
                      <w:p w:rsidR="00055A70" w:rsidRPr="00CD6558" w:rsidRDefault="00055A70" w:rsidP="00ED460E">
                        <w:pPr>
                          <w:jc w:val="center"/>
                          <w:rPr>
                            <w:rFonts w:cs="Arial"/>
                            <w:b/>
                          </w:rPr>
                        </w:pPr>
                        <w:r w:rsidRPr="00CD6558">
                          <w:rPr>
                            <w:rFonts w:cs="Arial"/>
                            <w:b/>
                          </w:rPr>
                          <w:t>- 1 TZ</w:t>
                        </w:r>
                      </w:p>
                    </w:txbxContent>
                  </v:textbox>
                </v:shape>
                <v:shape id="Text Box 15" o:spid="_x0000_s1039" type="#_x0000_t202" style="position:absolute;left:45974;top:3790;width:574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" stroked="f">
                  <v:textbox style="mso-fit-shape-to-text:t" inset="0,0,0,0">
                    <w:txbxContent>
                      <w:p w:rsidR="00055A70" w:rsidRPr="00CD6558" w:rsidRDefault="00055A70" w:rsidP="00ED460E">
                        <w:pPr>
                          <w:jc w:val="center"/>
                          <w:rPr>
                            <w:rFonts w:cs="Arial"/>
                            <w:b/>
                          </w:rPr>
                        </w:pPr>
                        <w:r w:rsidRPr="00CD6558">
                          <w:rPr>
                            <w:rFonts w:cs="Arial"/>
                            <w:b/>
                          </w:rPr>
                          <w:t>+ 2 TZ</w:t>
                        </w:r>
                      </w:p>
                    </w:txbxContent>
                  </v:textbox>
                </v:shape>
                <v:shape id="Text Box 16" o:spid="_x0000_s1040" type="#_x0000_t202" style="position:absolute;left:5746;top:3790;width:5747;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" stroked="f">
                  <v:textbox style="mso-fit-shape-to-text:t" inset="0,0,0,0">
                    <w:txbxContent>
                      <w:p w:rsidR="00055A70" w:rsidRPr="00CD6558" w:rsidRDefault="00055A70" w:rsidP="00ED460E">
                        <w:pPr>
                          <w:jc w:val="center"/>
                          <w:rPr>
                            <w:rFonts w:cs="Arial"/>
                            <w:b/>
                            <w:szCs w:val="22"/>
                          </w:rPr>
                        </w:pPr>
                        <w:r w:rsidRPr="00CD6558">
                          <w:rPr>
                            <w:rFonts w:cs="Arial"/>
                            <w:b/>
                            <w:szCs w:val="22"/>
                          </w:rPr>
                          <w:t>- 2 TZ</w:t>
                        </w:r>
                      </w:p>
                    </w:txbxContent>
                  </v:textbox>
                </v:shape>
                <v:shape id="Text Box 17" o:spid="_x0000_s1041" type="#_x0000_t202" style="position:absolute;left:11430;top:9144;width:919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" stroked="f">
                  <v:textbox style="mso-fit-shape-to-text:t" inset="0,0,0,0">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Pr>
                            <w:rFonts w:cs="Arial"/>
                            <w:i/>
                            <w:sz w:val="16"/>
                            <w:szCs w:val="18"/>
                          </w:rPr>
                          <w:t>≥</w:t>
                        </w:r>
                        <w:r w:rsidRPr="00CD6558">
                          <w:rPr>
                            <w:rFonts w:cs="Arial"/>
                            <w:i/>
                            <w:sz w:val="16"/>
                            <w:szCs w:val="18"/>
                          </w:rPr>
                          <w:t xml:space="preserve"> -10</w:t>
                        </w:r>
                        <w:r>
                          <w:rPr>
                            <w:rFonts w:cs="Arial"/>
                            <w:i/>
                            <w:sz w:val="16"/>
                            <w:szCs w:val="18"/>
                          </w:rPr>
                          <w:t xml:space="preserve"> </w:t>
                        </w:r>
                        <w:r w:rsidRPr="00CD6558">
                          <w:rPr>
                            <w:rFonts w:cs="Arial"/>
                            <w:i/>
                            <w:sz w:val="16"/>
                            <w:szCs w:val="18"/>
                          </w:rPr>
                          <w:t>%</w:t>
                        </w:r>
                      </w:p>
                    </w:txbxContent>
                  </v:textbox>
                </v:shape>
                <v:shape id="Text Box 18" o:spid="_x0000_s1042" type="#_x0000_t202" style="position:absolute;left:2286;top:9264;width:919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" stroked="f">
                  <v:textbox style="mso-fit-shape-to-text:t" inset="0,0,0,0">
                    <w:txbxContent>
                      <w:p w:rsidR="00055A70" w:rsidRPr="00CD6558" w:rsidRDefault="00055A70" w:rsidP="00ED460E">
                        <w:pPr>
                          <w:jc w:val="center"/>
                          <w:rPr>
                            <w:rFonts w:cs="Arial"/>
                            <w:i/>
                            <w:sz w:val="16"/>
                            <w:szCs w:val="18"/>
                          </w:rPr>
                        </w:pPr>
                        <w:r w:rsidRPr="00CD6558">
                          <w:rPr>
                            <w:rFonts w:cs="Arial"/>
                            <w:i/>
                            <w:sz w:val="16"/>
                            <w:szCs w:val="18"/>
                          </w:rPr>
                          <w:t>Abweichung</w:t>
                        </w:r>
                      </w:p>
                      <w:p w:rsidR="00055A70" w:rsidRPr="00CD6558" w:rsidRDefault="00055A70" w:rsidP="00ED460E">
                        <w:pPr>
                          <w:jc w:val="center"/>
                          <w:rPr>
                            <w:rFonts w:cs="Arial"/>
                            <w:i/>
                            <w:sz w:val="16"/>
                            <w:szCs w:val="18"/>
                          </w:rPr>
                        </w:pPr>
                        <w:r>
                          <w:rPr>
                            <w:rFonts w:cs="Arial"/>
                            <w:i/>
                            <w:sz w:val="16"/>
                            <w:szCs w:val="18"/>
                          </w:rPr>
                          <w:t>≥</w:t>
                        </w:r>
                        <w:r w:rsidRPr="00CD6558">
                          <w:rPr>
                            <w:rFonts w:cs="Arial"/>
                            <w:i/>
                            <w:sz w:val="16"/>
                            <w:szCs w:val="18"/>
                          </w:rPr>
                          <w:t xml:space="preserve"> -30</w:t>
                        </w:r>
                        <w:r>
                          <w:rPr>
                            <w:rFonts w:cs="Arial"/>
                            <w:i/>
                            <w:sz w:val="16"/>
                            <w:szCs w:val="18"/>
                          </w:rPr>
                          <w:t xml:space="preserve"> </w:t>
                        </w:r>
                        <w:r w:rsidRPr="00CD6558">
                          <w:rPr>
                            <w:rFonts w:cs="Arial"/>
                            <w:i/>
                            <w:sz w:val="16"/>
                            <w:szCs w:val="18"/>
                          </w:rPr>
                          <w:t>%</w:t>
                        </w:r>
                      </w:p>
                    </w:txbxContent>
                  </v:textbox>
                </v:shape>
                <v:shape id="Text Box 19" o:spid="_x0000_s1043" type="#_x0000_t202" style="position:absolute;left:36525;top:9144;width:9195;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" stroked="f">
                  <v:textbox style="mso-fit-shape-to-text:t" inset="0,0,0,0">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sidRPr="00CD6558">
                          <w:rPr>
                            <w:rFonts w:cs="Arial"/>
                            <w:i/>
                            <w:sz w:val="16"/>
                            <w:szCs w:val="18"/>
                          </w:rPr>
                          <w:t>&gt;+10</w:t>
                        </w:r>
                        <w:r>
                          <w:rPr>
                            <w:rFonts w:cs="Arial"/>
                            <w:i/>
                            <w:sz w:val="16"/>
                            <w:szCs w:val="18"/>
                          </w:rPr>
                          <w:t xml:space="preserve"> </w:t>
                        </w:r>
                        <w:r w:rsidRPr="00CD6558">
                          <w:rPr>
                            <w:rFonts w:cs="Arial"/>
                            <w:i/>
                            <w:sz w:val="16"/>
                            <w:szCs w:val="18"/>
                          </w:rPr>
                          <w:t>%</w:t>
                        </w:r>
                      </w:p>
                    </w:txbxContent>
                  </v:textbox>
                </v:shape>
                <v:shape id="Text Box 20" o:spid="_x0000_s1044" type="#_x0000_t202" style="position:absolute;left:44526;top:9144;width:9195;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sidRPr="00CD6558">
                          <w:rPr>
                            <w:rFonts w:cs="Arial"/>
                            <w:i/>
                            <w:sz w:val="16"/>
                            <w:szCs w:val="18"/>
                          </w:rPr>
                          <w:t>&gt; +30</w:t>
                        </w:r>
                        <w:r>
                          <w:rPr>
                            <w:rFonts w:cs="Arial"/>
                            <w:i/>
                            <w:sz w:val="16"/>
                            <w:szCs w:val="18"/>
                          </w:rPr>
                          <w:t xml:space="preserve"> </w:t>
                        </w:r>
                        <w:r w:rsidRPr="00CD6558">
                          <w:rPr>
                            <w:rFonts w:cs="Arial"/>
                            <w:i/>
                            <w:sz w:val="16"/>
                            <w:szCs w:val="18"/>
                          </w:rPr>
                          <w:t>%</w:t>
                        </w:r>
                      </w:p>
                    </w:txbxContent>
                  </v:textbox>
                </v:shape>
                <v:shape id="Text Box 21" o:spid="_x0000_s1045" type="#_x0000_t202" style="position:absolute;left:13792;top:12566;width:2988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rsidR="00055A70" w:rsidRPr="00CD6558" w:rsidRDefault="00055A70" w:rsidP="00ED460E">
                        <w:pPr>
                          <w:jc w:val="center"/>
                          <w:rPr>
                            <w:rFonts w:cs="Arial"/>
                            <w:sz w:val="16"/>
                            <w:szCs w:val="18"/>
                          </w:rPr>
                        </w:pPr>
                        <w:r>
                          <w:rPr>
                            <w:rFonts w:cs="Arial"/>
                            <w:sz w:val="16"/>
                            <w:szCs w:val="18"/>
                          </w:rPr>
                          <w:t>MiV</w:t>
                        </w:r>
                        <w:r w:rsidRPr="00CD6558">
                          <w:rPr>
                            <w:rFonts w:cs="Arial"/>
                            <w:sz w:val="16"/>
                            <w:szCs w:val="18"/>
                          </w:rPr>
                          <w:t xml:space="preserve"> = Mittlerer Versiegelungsgrad gemäss Art. </w:t>
                        </w:r>
                        <w:r>
                          <w:rPr>
                            <w:rFonts w:cs="Arial"/>
                            <w:sz w:val="16"/>
                            <w:szCs w:val="18"/>
                          </w:rPr>
                          <w:t>20</w:t>
                        </w:r>
                        <w:r w:rsidRPr="00CD6558">
                          <w:rPr>
                            <w:rFonts w:cs="Arial"/>
                            <w:sz w:val="16"/>
                            <w:szCs w:val="18"/>
                          </w:rPr>
                          <w:t xml:space="preserve"> </w:t>
                        </w:r>
                        <w:r>
                          <w:rPr>
                            <w:rFonts w:cs="Arial"/>
                            <w:sz w:val="16"/>
                            <w:szCs w:val="18"/>
                          </w:rPr>
                          <w:t>AR</w:t>
                        </w:r>
                      </w:p>
                    </w:txbxContent>
                  </v:textbox>
                </v:shape>
                <v:shape id="Text Box 22" o:spid="_x0000_s1046" type="#_x0000_t202" style="position:absolute;left:47796;top:6470;width:8642;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055A70" w:rsidRPr="00C06810" w:rsidRDefault="00055A70" w:rsidP="00ED460E">
                        <w:pPr>
                          <w:jc w:val="center"/>
                          <w:rPr>
                            <w:rFonts w:cs="Arial"/>
                            <w:color w:val="1F497D"/>
                            <w:sz w:val="16"/>
                            <w:szCs w:val="16"/>
                          </w:rPr>
                        </w:pPr>
                        <w:r w:rsidRPr="00C06810">
                          <w:rPr>
                            <w:rFonts w:cs="Arial"/>
                            <w:color w:val="1F497D"/>
                            <w:sz w:val="16"/>
                            <w:szCs w:val="16"/>
                          </w:rPr>
                          <w:t>Versiegelungsgrad</w:t>
                        </w:r>
                      </w:p>
                      <w:p w:rsidR="00055A70" w:rsidRPr="00C06810" w:rsidRDefault="00055A70" w:rsidP="00ED460E">
                        <w:pPr>
                          <w:jc w:val="center"/>
                          <w:rPr>
                            <w:rFonts w:cs="Arial"/>
                            <w:color w:val="1F497D"/>
                            <w:sz w:val="16"/>
                            <w:szCs w:val="16"/>
                          </w:rPr>
                        </w:pPr>
                        <w:r w:rsidRPr="00C06810">
                          <w:rPr>
                            <w:rFonts w:cs="Arial"/>
                            <w:color w:val="1F497D"/>
                            <w:sz w:val="16"/>
                            <w:szCs w:val="16"/>
                          </w:rPr>
                          <w:t>des Grundstücks</w:t>
                        </w:r>
                      </w:p>
                    </w:txbxContent>
                  </v:textbox>
                </v:shape>
                <v:shape id="Text Box 23" o:spid="_x0000_s1047" type="#_x0000_t202" style="position:absolute;left:19431;top:9264;width:919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" stroked="f">
                  <v:textbox style="mso-fit-shape-to-text:t" inset="0,0,0,0">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sidRPr="00CD6558">
                          <w:rPr>
                            <w:rFonts w:cs="Arial"/>
                            <w:i/>
                            <w:sz w:val="16"/>
                            <w:szCs w:val="18"/>
                          </w:rPr>
                          <w:t>&lt; -10</w:t>
                        </w:r>
                        <w:r>
                          <w:rPr>
                            <w:rFonts w:cs="Arial"/>
                            <w:i/>
                            <w:sz w:val="16"/>
                            <w:szCs w:val="18"/>
                          </w:rPr>
                          <w:t xml:space="preserve"> </w:t>
                        </w:r>
                        <w:r w:rsidRPr="00CD6558">
                          <w:rPr>
                            <w:rFonts w:cs="Arial"/>
                            <w:i/>
                            <w:sz w:val="16"/>
                            <w:szCs w:val="18"/>
                          </w:rPr>
                          <w:t>%</w:t>
                        </w:r>
                      </w:p>
                    </w:txbxContent>
                  </v:textbox>
                </v:shape>
                <v:shape id="Text Box 24" o:spid="_x0000_s1048" type="#_x0000_t202" style="position:absolute;left:28575;top:9264;width:919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" stroked="f">
                  <v:textbox style="mso-fit-shape-to-text:t" inset="0,0,0,0">
                    <w:txbxContent>
                      <w:p w:rsidR="00055A70" w:rsidRPr="00CD6558" w:rsidRDefault="00055A70" w:rsidP="00ED460E">
                        <w:pPr>
                          <w:jc w:val="center"/>
                          <w:rPr>
                            <w:rFonts w:cs="Arial"/>
                            <w:i/>
                            <w:sz w:val="16"/>
                            <w:szCs w:val="18"/>
                          </w:rPr>
                        </w:pPr>
                        <w:r w:rsidRPr="00CD6558">
                          <w:rPr>
                            <w:rFonts w:cs="Arial"/>
                            <w:i/>
                            <w:sz w:val="16"/>
                            <w:szCs w:val="18"/>
                          </w:rPr>
                          <w:t xml:space="preserve">Abweichung </w:t>
                        </w:r>
                      </w:p>
                      <w:p w:rsidR="00055A70" w:rsidRPr="00CD6558" w:rsidRDefault="00055A70" w:rsidP="00ED460E">
                        <w:pPr>
                          <w:jc w:val="center"/>
                          <w:rPr>
                            <w:rFonts w:cs="Arial"/>
                            <w:i/>
                            <w:sz w:val="16"/>
                            <w:szCs w:val="18"/>
                          </w:rPr>
                        </w:pPr>
                        <w:r>
                          <w:rPr>
                            <w:rFonts w:cs="Arial"/>
                            <w:i/>
                            <w:sz w:val="16"/>
                            <w:szCs w:val="18"/>
                          </w:rPr>
                          <w:t>≤</w:t>
                        </w:r>
                        <w:r w:rsidRPr="00CD6558">
                          <w:rPr>
                            <w:rFonts w:cs="Arial"/>
                            <w:i/>
                            <w:sz w:val="16"/>
                            <w:szCs w:val="18"/>
                          </w:rPr>
                          <w:t xml:space="preserve"> +10</w:t>
                        </w:r>
                        <w:r>
                          <w:rPr>
                            <w:rFonts w:cs="Arial"/>
                            <w:i/>
                            <w:sz w:val="16"/>
                            <w:szCs w:val="18"/>
                          </w:rPr>
                          <w:t xml:space="preserve"> </w:t>
                        </w:r>
                        <w:r w:rsidRPr="00CD6558">
                          <w:rPr>
                            <w:rFonts w:cs="Arial"/>
                            <w:i/>
                            <w:sz w:val="16"/>
                            <w:szCs w:val="18"/>
                          </w:rPr>
                          <w:t>%</w:t>
                        </w:r>
                      </w:p>
                    </w:txbxContent>
                  </v:textbox>
                </v:shape>
                <w10:anchorlock/>
              </v:group>
            </w:pict>
          </mc:Fallback>
        </mc:AlternateContent>
      </w:r>
    </w:p>
    <w:p w:rsidR="00ED460E" w:rsidRPr="002B7200" w:rsidRDefault="00ED460E" w:rsidP="00ED460E">
      <w:pPr>
        <w:rPr>
          <w:rFonts w:cs="Arial"/>
        </w:rPr>
      </w:pPr>
    </w:p>
    <w:p w:rsidR="00ED460E" w:rsidRDefault="00DD4B89" w:rsidP="00D65F57">
      <w:pPr>
        <w:tabs>
          <w:tab w:val="left" w:pos="284"/>
          <w:tab w:val="left" w:pos="2835"/>
          <w:tab w:val="left" w:pos="4111"/>
          <w:tab w:val="left" w:pos="4962"/>
        </w:tabs>
        <w:ind w:left="284" w:hanging="284"/>
        <w:rPr>
          <w:rFonts w:cs="Arial"/>
        </w:rPr>
      </w:pPr>
      <w:r>
        <w:rPr>
          <w:rFonts w:cs="Arial"/>
        </w:rPr>
        <w:tab/>
      </w:r>
      <w:r w:rsidR="00ED460E" w:rsidRPr="00DD4B89">
        <w:rPr>
          <w:rFonts w:cs="Arial"/>
        </w:rPr>
        <w:t xml:space="preserve">Spezifikation Eigenleistungen: Erbrachte Eigenleistungen (Retention, Versickerung oder eigene Leitung bis zum Gewässer usw.) können über den obigen Versiegelungsgrad zu einer Reduktion der Tarifzonen-Grundeinteilung führen, falls der Einwohnergemeinde für deren Aufbau oder Unterhalt keine Kosten entstanden sind bzw. entstehen werden. </w:t>
      </w:r>
    </w:p>
    <w:p w:rsidR="00DD4B89" w:rsidRPr="00DD4B89" w:rsidRDefault="00DD4B89" w:rsidP="00DD4B89">
      <w:pPr>
        <w:tabs>
          <w:tab w:val="left" w:pos="284"/>
          <w:tab w:val="left" w:pos="2835"/>
          <w:tab w:val="left" w:pos="4111"/>
          <w:tab w:val="left" w:pos="4962"/>
        </w:tabs>
        <w:ind w:left="284" w:hanging="284"/>
        <w:jc w:val="both"/>
        <w:rPr>
          <w:rFonts w:cs="Arial"/>
        </w:rPr>
      </w:pPr>
    </w:p>
    <w:p w:rsidR="00ED460E" w:rsidRPr="00DD4B89" w:rsidRDefault="00DD4B89" w:rsidP="00D65F57">
      <w:pPr>
        <w:tabs>
          <w:tab w:val="left" w:pos="284"/>
          <w:tab w:val="left" w:pos="2835"/>
          <w:tab w:val="left" w:pos="4111"/>
          <w:tab w:val="left" w:pos="4962"/>
        </w:tabs>
        <w:ind w:left="284" w:hanging="284"/>
        <w:rPr>
          <w:rFonts w:cs="Arial"/>
        </w:rPr>
      </w:pPr>
      <w:r>
        <w:rPr>
          <w:rFonts w:cs="Arial"/>
        </w:rPr>
        <w:tab/>
      </w:r>
      <w:r w:rsidR="00ED460E" w:rsidRPr="00DD4B89">
        <w:rPr>
          <w:rFonts w:cs="Arial"/>
        </w:rPr>
        <w:t>Als Eigenleistung gelten bewilligte, entsprechend ausgeführte und in einem funktionstüchtigen Zustand gehaltene private Anlagen mit der Fähigkeit</w:t>
      </w:r>
    </w:p>
    <w:p w:rsidR="00ED460E" w:rsidRPr="00ED460E" w:rsidRDefault="00ED460E" w:rsidP="00D65F57">
      <w:pPr>
        <w:pStyle w:val="Kopfzeile"/>
        <w:numPr>
          <w:ilvl w:val="0"/>
          <w:numId w:val="8"/>
        </w:numPr>
        <w:tabs>
          <w:tab w:val="clear" w:pos="928"/>
          <w:tab w:val="num" w:pos="567"/>
          <w:tab w:val="center" w:pos="4819"/>
        </w:tabs>
        <w:spacing w:after="120" w:line="280" w:lineRule="atLeast"/>
        <w:ind w:left="567" w:hanging="283"/>
        <w:rPr>
          <w:rFonts w:cs="Arial"/>
          <w:sz w:val="20"/>
        </w:rPr>
      </w:pPr>
      <w:r w:rsidRPr="00ED460E">
        <w:rPr>
          <w:rFonts w:cs="Arial"/>
          <w:sz w:val="20"/>
        </w:rPr>
        <w:lastRenderedPageBreak/>
        <w:t>mindestens 30 Liter pro m</w:t>
      </w:r>
      <w:r w:rsidRPr="00ED460E">
        <w:rPr>
          <w:rFonts w:cs="Arial"/>
          <w:sz w:val="20"/>
          <w:vertAlign w:val="superscript"/>
        </w:rPr>
        <w:t>2</w:t>
      </w:r>
      <w:r w:rsidRPr="00ED460E">
        <w:rPr>
          <w:rFonts w:cs="Arial"/>
          <w:sz w:val="20"/>
        </w:rPr>
        <w:t xml:space="preserve"> der versiegelten Flächen zu speichern (z.B. Versickerungs-, Brauchwasser-, Retentionsanlagen, Dachbegrünungen) und gedrosselt abzuleiten (Retentionswirkung). Liegt eine aktuelle Berechnung des GEP-Ingenieurs vor, gelten diese Werte als Minimalanforderung an die Eigenleistung;</w:t>
      </w:r>
    </w:p>
    <w:p w:rsidR="00ED460E" w:rsidRPr="00ED460E" w:rsidRDefault="00ED460E" w:rsidP="00D65F57">
      <w:pPr>
        <w:pStyle w:val="Kopfzeile"/>
        <w:numPr>
          <w:ilvl w:val="0"/>
          <w:numId w:val="8"/>
        </w:numPr>
        <w:tabs>
          <w:tab w:val="clear" w:pos="928"/>
          <w:tab w:val="num" w:pos="567"/>
          <w:tab w:val="center" w:pos="4819"/>
        </w:tabs>
        <w:spacing w:after="120" w:line="280" w:lineRule="atLeast"/>
        <w:ind w:left="567" w:hanging="283"/>
        <w:rPr>
          <w:rFonts w:cs="Arial"/>
          <w:sz w:val="20"/>
        </w:rPr>
      </w:pPr>
      <w:r w:rsidRPr="00ED460E">
        <w:rPr>
          <w:rFonts w:cs="Arial"/>
          <w:sz w:val="20"/>
        </w:rPr>
        <w:t xml:space="preserve">100 Liter / (ha x sec) versickern zu können (z.B. Versickerungsanlagen, Sickersteine, Ökobeläge, Rasengitter); </w:t>
      </w:r>
    </w:p>
    <w:p w:rsidR="00ED460E" w:rsidRPr="00ED460E" w:rsidRDefault="00ED460E" w:rsidP="00D65F57">
      <w:pPr>
        <w:pStyle w:val="Kopfzeile"/>
        <w:numPr>
          <w:ilvl w:val="0"/>
          <w:numId w:val="8"/>
        </w:numPr>
        <w:tabs>
          <w:tab w:val="clear" w:pos="928"/>
          <w:tab w:val="num" w:pos="567"/>
          <w:tab w:val="center" w:pos="4819"/>
        </w:tabs>
        <w:spacing w:after="120" w:line="280" w:lineRule="atLeast"/>
        <w:ind w:left="568" w:hanging="284"/>
        <w:rPr>
          <w:rFonts w:cs="Arial"/>
          <w:sz w:val="20"/>
        </w:rPr>
      </w:pPr>
      <w:r w:rsidRPr="00ED460E">
        <w:rPr>
          <w:rFonts w:cs="Arial"/>
          <w:sz w:val="20"/>
        </w:rPr>
        <w:tab/>
        <w:t xml:space="preserve">das auf dem Grundstück anfallende Regenwasser direkt in einen Vorfluter mit genügend Kapazität zu leiten. Dies sofern der Einwohnergemeinde in Bezug auf die Kapazität des Vorfluters oder andere bauliche Massnahmen keine Kosten entstanden sind bzw. entstehen werden. </w:t>
      </w:r>
    </w:p>
    <w:p w:rsidR="00ED460E" w:rsidRPr="00DD4B89" w:rsidRDefault="00ED460E" w:rsidP="00ED460E">
      <w:pPr>
        <w:ind w:left="284"/>
        <w:rPr>
          <w:rFonts w:cs="Arial"/>
        </w:rPr>
      </w:pPr>
      <w:r w:rsidRPr="00DD4B89">
        <w:rPr>
          <w:rFonts w:cs="Arial"/>
        </w:rPr>
        <w:t>Bei Brauchwasseranlagen ist die Menge des wiederverwendeten Regenwassers, welches in die Abwasseranlage gelangt, wie namentlich bei Toilettenspülungen, Waschmaschinen, Autowaschen und Wärmepumpen, mit einer geeigneten Messanlage zu messen oder sie wird mittels pauschalem Wert von 11 m</w:t>
      </w:r>
      <w:r w:rsidRPr="00DD4B89">
        <w:rPr>
          <w:rFonts w:cs="Arial"/>
          <w:vertAlign w:val="superscript"/>
        </w:rPr>
        <w:t>3</w:t>
      </w:r>
      <w:r w:rsidRPr="00DD4B89">
        <w:rPr>
          <w:rFonts w:cs="Arial"/>
        </w:rPr>
        <w:t xml:space="preserve"> pro Person und Jahr bewertet. Diese Menge ist mengengebührenpflichtig.</w:t>
      </w:r>
    </w:p>
    <w:p w:rsidR="00ED460E" w:rsidRPr="00ED460E" w:rsidRDefault="00ED460E" w:rsidP="00ED460E">
      <w:pPr>
        <w:pStyle w:val="Kopfzeile"/>
        <w:tabs>
          <w:tab w:val="left" w:pos="1418"/>
          <w:tab w:val="left" w:pos="1985"/>
          <w:tab w:val="left" w:pos="2552"/>
          <w:tab w:val="left" w:pos="3402"/>
          <w:tab w:val="left" w:pos="3828"/>
          <w:tab w:val="right" w:pos="4962"/>
          <w:tab w:val="left" w:pos="5245"/>
          <w:tab w:val="left" w:pos="6096"/>
          <w:tab w:val="right" w:pos="6663"/>
          <w:tab w:val="right" w:pos="7371"/>
        </w:tabs>
        <w:spacing w:line="280" w:lineRule="atLeast"/>
        <w:jc w:val="both"/>
        <w:rPr>
          <w:rFonts w:cs="Arial"/>
          <w:sz w:val="20"/>
        </w:rPr>
      </w:pPr>
    </w:p>
    <w:p w:rsidR="00ED460E" w:rsidRDefault="00ED460E" w:rsidP="00ED460E">
      <w:pPr>
        <w:pStyle w:val="Kopfzeile"/>
        <w:tabs>
          <w:tab w:val="left" w:pos="284"/>
        </w:tabs>
        <w:spacing w:after="120" w:line="280" w:lineRule="atLeast"/>
        <w:ind w:left="284" w:hanging="284"/>
        <w:rPr>
          <w:rFonts w:cs="Arial"/>
          <w:sz w:val="20"/>
        </w:rPr>
      </w:pPr>
      <w:r w:rsidRPr="00ED460E">
        <w:rPr>
          <w:rFonts w:cs="Arial"/>
          <w:sz w:val="20"/>
        </w:rPr>
        <w:t>3</w:t>
      </w:r>
      <w:r w:rsidRPr="00ED460E">
        <w:rPr>
          <w:rFonts w:cs="Arial"/>
          <w:sz w:val="20"/>
        </w:rPr>
        <w:tab/>
      </w:r>
      <w:r w:rsidRPr="00ED460E">
        <w:rPr>
          <w:rFonts w:cs="Arial"/>
          <w:b/>
          <w:i/>
          <w:sz w:val="20"/>
        </w:rPr>
        <w:t>Bewohnbarkeit:</w:t>
      </w:r>
      <w:r w:rsidRPr="00ED460E">
        <w:rPr>
          <w:rFonts w:cs="Arial"/>
          <w:sz w:val="20"/>
        </w:rPr>
        <w:t xml:space="preserve"> Die Bewohnbarkeit ist die Summe der Wohnungen und Gewerbebetriebe auf einem Grundstück oder Teilgrundstück. Das Kriterium Bewohnbarkeit führt bei einer über- bzw. unterdurchschnittlichen Anzahl Wohnungen oder Gewerbe zu einer Tarifzonenkorrektur. </w:t>
      </w:r>
      <w:r w:rsidRPr="00ED460E">
        <w:rPr>
          <w:rFonts w:cs="Arial"/>
          <w:sz w:val="20"/>
        </w:rPr>
        <w:br/>
      </w:r>
      <w:r w:rsidRPr="00ED460E">
        <w:rPr>
          <w:rFonts w:cs="Arial"/>
          <w:sz w:val="20"/>
        </w:rPr>
        <w:br/>
        <w:t>Bei Gewerbebetrieben (Ausnahme Übernachtungsgastronomie) wird aufgrund der Zählergrösse die Anzahl Wohnungsäquivalente ermittelt.</w:t>
      </w:r>
    </w:p>
    <w:p w:rsidR="00D65F57" w:rsidRPr="00ED460E" w:rsidRDefault="00D65F57" w:rsidP="00ED460E">
      <w:pPr>
        <w:pStyle w:val="Kopfzeile"/>
        <w:tabs>
          <w:tab w:val="left" w:pos="284"/>
        </w:tabs>
        <w:spacing w:after="120" w:line="280" w:lineRule="atLeast"/>
        <w:ind w:left="284" w:hanging="284"/>
        <w:rPr>
          <w:rFonts w:cs="Arial"/>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2126"/>
        <w:gridCol w:w="2126"/>
      </w:tblGrid>
      <w:tr w:rsidR="00ED460E" w:rsidRPr="002B7200" w:rsidTr="00ED460E">
        <w:tc>
          <w:tcPr>
            <w:tcW w:w="1757" w:type="dxa"/>
            <w:shd w:val="clear" w:color="auto" w:fill="D9D9D9" w:themeFill="background1" w:themeFillShade="D9"/>
            <w:vAlign w:val="center"/>
          </w:tcPr>
          <w:p w:rsidR="00ED460E" w:rsidRPr="002B7200" w:rsidRDefault="00ED460E" w:rsidP="00ED460E">
            <w:pPr>
              <w:jc w:val="center"/>
              <w:rPr>
                <w:rFonts w:cs="Arial"/>
                <w:b/>
                <w:bCs/>
                <w:sz w:val="18"/>
                <w:szCs w:val="22"/>
              </w:rPr>
            </w:pPr>
            <w:r w:rsidRPr="002B7200">
              <w:rPr>
                <w:rFonts w:cs="Arial"/>
                <w:b/>
                <w:bCs/>
                <w:sz w:val="18"/>
                <w:szCs w:val="22"/>
              </w:rPr>
              <w:t>Zählergrösse</w:t>
            </w:r>
          </w:p>
          <w:p w:rsidR="00ED460E" w:rsidRPr="002B7200" w:rsidRDefault="00ED460E" w:rsidP="00ED460E">
            <w:pPr>
              <w:jc w:val="center"/>
              <w:rPr>
                <w:rFonts w:cs="Arial"/>
                <w:sz w:val="18"/>
                <w:szCs w:val="22"/>
              </w:rPr>
            </w:pPr>
            <w:r w:rsidRPr="002B7200">
              <w:rPr>
                <w:rFonts w:cs="Arial"/>
                <w:b/>
                <w:bCs/>
                <w:sz w:val="18"/>
                <w:szCs w:val="22"/>
              </w:rPr>
              <w:t>in Zoll</w:t>
            </w:r>
          </w:p>
        </w:tc>
        <w:tc>
          <w:tcPr>
            <w:tcW w:w="2126" w:type="dxa"/>
            <w:shd w:val="clear" w:color="auto" w:fill="D9D9D9" w:themeFill="background1" w:themeFillShade="D9"/>
            <w:vAlign w:val="center"/>
          </w:tcPr>
          <w:p w:rsidR="00ED460E" w:rsidRPr="002B7200" w:rsidRDefault="00ED460E" w:rsidP="00ED460E">
            <w:pPr>
              <w:tabs>
                <w:tab w:val="left" w:pos="284"/>
              </w:tabs>
              <w:jc w:val="center"/>
              <w:rPr>
                <w:rFonts w:cs="Arial"/>
                <w:b/>
                <w:bCs/>
                <w:sz w:val="18"/>
                <w:szCs w:val="22"/>
              </w:rPr>
            </w:pPr>
            <w:r w:rsidRPr="002B7200">
              <w:rPr>
                <w:rFonts w:cs="Arial"/>
                <w:b/>
                <w:bCs/>
                <w:sz w:val="18"/>
                <w:szCs w:val="22"/>
              </w:rPr>
              <w:t>Zählergrösse</w:t>
            </w:r>
          </w:p>
          <w:p w:rsidR="00ED460E" w:rsidRPr="002B7200" w:rsidDel="00C20A5C" w:rsidRDefault="00ED460E" w:rsidP="00ED460E">
            <w:pPr>
              <w:tabs>
                <w:tab w:val="left" w:pos="284"/>
              </w:tabs>
              <w:jc w:val="center"/>
              <w:rPr>
                <w:rFonts w:cs="Arial"/>
                <w:b/>
                <w:bCs/>
                <w:sz w:val="18"/>
                <w:szCs w:val="22"/>
              </w:rPr>
            </w:pPr>
            <w:r w:rsidRPr="002B7200">
              <w:rPr>
                <w:rFonts w:cs="Arial"/>
                <w:b/>
                <w:bCs/>
                <w:sz w:val="18"/>
                <w:szCs w:val="22"/>
              </w:rPr>
              <w:t>in DN</w:t>
            </w:r>
          </w:p>
        </w:tc>
        <w:tc>
          <w:tcPr>
            <w:tcW w:w="2126" w:type="dxa"/>
            <w:shd w:val="clear" w:color="auto" w:fill="D9D9D9" w:themeFill="background1" w:themeFillShade="D9"/>
            <w:vAlign w:val="center"/>
          </w:tcPr>
          <w:p w:rsidR="00ED460E" w:rsidRPr="002B7200" w:rsidRDefault="00ED460E" w:rsidP="00ED460E">
            <w:pPr>
              <w:tabs>
                <w:tab w:val="left" w:pos="284"/>
              </w:tabs>
              <w:jc w:val="center"/>
              <w:rPr>
                <w:rFonts w:cs="Arial"/>
                <w:sz w:val="18"/>
                <w:szCs w:val="22"/>
              </w:rPr>
            </w:pPr>
            <w:r w:rsidRPr="002B7200">
              <w:rPr>
                <w:rFonts w:cs="Arial"/>
                <w:b/>
                <w:bCs/>
                <w:sz w:val="18"/>
                <w:szCs w:val="22"/>
              </w:rPr>
              <w:t>Wohnungs-</w:t>
            </w:r>
            <w:r w:rsidRPr="002B7200">
              <w:rPr>
                <w:rFonts w:cs="Arial"/>
                <w:b/>
                <w:bCs/>
                <w:sz w:val="18"/>
                <w:szCs w:val="22"/>
              </w:rPr>
              <w:br/>
              <w:t>äquivalent</w:t>
            </w:r>
          </w:p>
        </w:tc>
      </w:tr>
      <w:tr w:rsidR="00ED460E" w:rsidRPr="002B7200" w:rsidTr="00ED460E">
        <w:tc>
          <w:tcPr>
            <w:tcW w:w="1757" w:type="dxa"/>
            <w:shd w:val="clear" w:color="auto" w:fill="FFFFFF" w:themeFill="background1"/>
          </w:tcPr>
          <w:p w:rsidR="00ED460E" w:rsidRPr="002B7200" w:rsidRDefault="00ED460E" w:rsidP="00ED460E">
            <w:pPr>
              <w:jc w:val="center"/>
              <w:rPr>
                <w:rFonts w:cs="Arial"/>
                <w:sz w:val="18"/>
                <w:szCs w:val="22"/>
              </w:rPr>
            </w:pPr>
            <w:r w:rsidRPr="002B7200">
              <w:rPr>
                <w:rFonts w:cs="Arial"/>
                <w:sz w:val="18"/>
                <w:szCs w:val="22"/>
              </w:rPr>
              <w:t>¾ “</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20 mm</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1</w:t>
            </w:r>
          </w:p>
        </w:tc>
      </w:tr>
      <w:tr w:rsidR="00ED460E" w:rsidRPr="002B7200" w:rsidTr="00ED460E">
        <w:tc>
          <w:tcPr>
            <w:tcW w:w="1757" w:type="dxa"/>
            <w:shd w:val="clear" w:color="auto" w:fill="FFFFFF" w:themeFill="background1"/>
          </w:tcPr>
          <w:p w:rsidR="00ED460E" w:rsidRPr="002B7200" w:rsidRDefault="00ED460E" w:rsidP="00ED460E">
            <w:pPr>
              <w:jc w:val="center"/>
              <w:rPr>
                <w:rFonts w:cs="Arial"/>
                <w:sz w:val="18"/>
                <w:szCs w:val="22"/>
              </w:rPr>
            </w:pPr>
            <w:r w:rsidRPr="002B7200">
              <w:rPr>
                <w:rFonts w:cs="Arial"/>
                <w:sz w:val="18"/>
                <w:szCs w:val="22"/>
              </w:rPr>
              <w:t>1 “</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25 mm</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3</w:t>
            </w:r>
          </w:p>
        </w:tc>
      </w:tr>
      <w:tr w:rsidR="00ED460E" w:rsidRPr="002B7200" w:rsidTr="00ED460E">
        <w:tc>
          <w:tcPr>
            <w:tcW w:w="1757" w:type="dxa"/>
            <w:shd w:val="clear" w:color="auto" w:fill="FFFFFF" w:themeFill="background1"/>
          </w:tcPr>
          <w:p w:rsidR="00ED460E" w:rsidRPr="002B7200" w:rsidRDefault="00ED460E" w:rsidP="00ED460E">
            <w:pPr>
              <w:jc w:val="center"/>
              <w:rPr>
                <w:rFonts w:cs="Arial"/>
                <w:sz w:val="18"/>
                <w:szCs w:val="22"/>
              </w:rPr>
            </w:pPr>
            <w:r w:rsidRPr="002B7200">
              <w:rPr>
                <w:rFonts w:cs="Arial"/>
                <w:sz w:val="18"/>
                <w:szCs w:val="22"/>
              </w:rPr>
              <w:t>1 ¼ “</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32 mm</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5</w:t>
            </w:r>
          </w:p>
        </w:tc>
      </w:tr>
      <w:tr w:rsidR="00ED460E" w:rsidRPr="002B7200" w:rsidTr="00ED460E">
        <w:tc>
          <w:tcPr>
            <w:tcW w:w="1757" w:type="dxa"/>
            <w:shd w:val="clear" w:color="auto" w:fill="FFFFFF" w:themeFill="background1"/>
          </w:tcPr>
          <w:p w:rsidR="00ED460E" w:rsidRPr="002B7200" w:rsidRDefault="00ED460E" w:rsidP="00ED460E">
            <w:pPr>
              <w:jc w:val="center"/>
              <w:rPr>
                <w:rFonts w:cs="Arial"/>
                <w:sz w:val="18"/>
                <w:szCs w:val="22"/>
              </w:rPr>
            </w:pPr>
            <w:r w:rsidRPr="002B7200">
              <w:rPr>
                <w:rFonts w:cs="Arial"/>
                <w:sz w:val="18"/>
                <w:szCs w:val="22"/>
              </w:rPr>
              <w:t>1 ½ “</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40 mm</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8</w:t>
            </w:r>
          </w:p>
        </w:tc>
      </w:tr>
      <w:tr w:rsidR="00ED460E" w:rsidRPr="002B7200" w:rsidTr="00ED460E">
        <w:tc>
          <w:tcPr>
            <w:tcW w:w="1757" w:type="dxa"/>
            <w:shd w:val="clear" w:color="auto" w:fill="FFFFFF" w:themeFill="background1"/>
          </w:tcPr>
          <w:p w:rsidR="00ED460E" w:rsidRPr="002B7200" w:rsidRDefault="00ED460E" w:rsidP="00ED460E">
            <w:pPr>
              <w:jc w:val="center"/>
              <w:rPr>
                <w:rFonts w:cs="Arial"/>
                <w:sz w:val="18"/>
                <w:szCs w:val="22"/>
              </w:rPr>
            </w:pPr>
            <w:r w:rsidRPr="002B7200">
              <w:rPr>
                <w:rFonts w:cs="Arial"/>
                <w:sz w:val="18"/>
                <w:szCs w:val="22"/>
              </w:rPr>
              <w:t>2 “</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50 mm</w:t>
            </w:r>
          </w:p>
        </w:tc>
        <w:tc>
          <w:tcPr>
            <w:tcW w:w="2126" w:type="dxa"/>
            <w:shd w:val="clear" w:color="auto" w:fill="FFFFFF" w:themeFill="background1"/>
          </w:tcPr>
          <w:p w:rsidR="00ED460E" w:rsidRPr="002B7200" w:rsidRDefault="00ED460E" w:rsidP="00ED460E">
            <w:pPr>
              <w:tabs>
                <w:tab w:val="left" w:pos="284"/>
              </w:tabs>
              <w:jc w:val="center"/>
              <w:rPr>
                <w:rFonts w:cs="Arial"/>
                <w:sz w:val="18"/>
                <w:szCs w:val="22"/>
              </w:rPr>
            </w:pPr>
            <w:r w:rsidRPr="002B7200">
              <w:rPr>
                <w:rFonts w:cs="Arial"/>
                <w:sz w:val="18"/>
                <w:szCs w:val="22"/>
              </w:rPr>
              <w:t>12</w:t>
            </w:r>
          </w:p>
        </w:tc>
      </w:tr>
    </w:tbl>
    <w:p w:rsidR="00ED460E" w:rsidRDefault="00ED460E" w:rsidP="00ED460E">
      <w:pPr>
        <w:pStyle w:val="Kopfzeile"/>
        <w:tabs>
          <w:tab w:val="left" w:pos="284"/>
        </w:tabs>
        <w:spacing w:after="120" w:line="280" w:lineRule="atLeast"/>
        <w:ind w:left="284" w:hanging="284"/>
        <w:rPr>
          <w:rFonts w:cs="Arial"/>
        </w:rPr>
      </w:pPr>
    </w:p>
    <w:p w:rsidR="00ED460E" w:rsidRDefault="00ED460E" w:rsidP="00ED460E">
      <w:pPr>
        <w:pStyle w:val="Kopfzeile"/>
        <w:tabs>
          <w:tab w:val="left" w:pos="284"/>
        </w:tabs>
        <w:spacing w:after="120" w:line="280" w:lineRule="atLeast"/>
        <w:ind w:left="284" w:hanging="284"/>
        <w:rPr>
          <w:rFonts w:cs="Arial"/>
        </w:rPr>
      </w:pPr>
    </w:p>
    <w:p w:rsidR="00ED460E" w:rsidRDefault="00ED460E" w:rsidP="00ED460E">
      <w:pPr>
        <w:pStyle w:val="Kopfzeile"/>
        <w:tabs>
          <w:tab w:val="left" w:pos="284"/>
        </w:tabs>
        <w:spacing w:after="120" w:line="280" w:lineRule="atLeast"/>
        <w:ind w:left="284" w:hanging="284"/>
        <w:rPr>
          <w:rFonts w:cs="Arial"/>
        </w:rPr>
      </w:pPr>
    </w:p>
    <w:p w:rsidR="00E27A70" w:rsidRDefault="00E27A70">
      <w:pPr>
        <w:spacing w:line="240" w:lineRule="auto"/>
        <w:rPr>
          <w:rFonts w:cs="Arial"/>
          <w:noProof/>
          <w:sz w:val="16"/>
        </w:rPr>
      </w:pPr>
      <w:r>
        <w:rPr>
          <w:rFonts w:cs="Arial"/>
        </w:rPr>
        <w:br w:type="page"/>
      </w:r>
    </w:p>
    <w:tbl>
      <w:tblPr>
        <w:tblW w:w="84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243"/>
        <w:gridCol w:w="1134"/>
        <w:gridCol w:w="1998"/>
        <w:gridCol w:w="2538"/>
        <w:gridCol w:w="1525"/>
      </w:tblGrid>
      <w:tr w:rsidR="00ED460E" w:rsidRPr="002B7200" w:rsidTr="00ED460E">
        <w:trPr>
          <w:cantSplit/>
          <w:tblHeader/>
        </w:trPr>
        <w:tc>
          <w:tcPr>
            <w:tcW w:w="1243" w:type="dxa"/>
            <w:shd w:val="clear" w:color="auto" w:fill="D9D9D9" w:themeFill="background1" w:themeFillShade="D9"/>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lastRenderedPageBreak/>
              <w:t>Tarifzonen-Grundeinteilung</w:t>
            </w:r>
          </w:p>
        </w:tc>
        <w:tc>
          <w:tcPr>
            <w:tcW w:w="1134" w:type="dxa"/>
            <w:shd w:val="clear" w:color="auto" w:fill="D9D9D9" w:themeFill="background1" w:themeFillShade="D9"/>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Geschosse</w:t>
            </w:r>
          </w:p>
        </w:tc>
        <w:tc>
          <w:tcPr>
            <w:tcW w:w="1998" w:type="dxa"/>
            <w:shd w:val="clear" w:color="auto" w:fill="D9D9D9" w:themeFill="background1" w:themeFillShade="D9"/>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Anzahl Wohnungen im Durchschnitt</w:t>
            </w:r>
          </w:p>
        </w:tc>
        <w:tc>
          <w:tcPr>
            <w:tcW w:w="2538" w:type="dxa"/>
            <w:shd w:val="clear" w:color="auto" w:fill="D9D9D9" w:themeFill="background1" w:themeFillShade="D9"/>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 xml:space="preserve">Situation auf dem </w:t>
            </w:r>
            <w:r w:rsidRPr="002B7200">
              <w:rPr>
                <w:rFonts w:cs="Arial"/>
                <w:b/>
                <w:bCs/>
                <w:sz w:val="18"/>
              </w:rPr>
              <w:br/>
              <w:t>Grundstück</w:t>
            </w:r>
            <w:r w:rsidRPr="002B7200">
              <w:rPr>
                <w:rFonts w:cs="Arial"/>
                <w:b/>
                <w:bCs/>
                <w:sz w:val="18"/>
              </w:rPr>
              <w:br/>
              <w:t>(Grenzwerte)</w:t>
            </w:r>
          </w:p>
        </w:tc>
        <w:tc>
          <w:tcPr>
            <w:tcW w:w="1525" w:type="dxa"/>
            <w:shd w:val="clear" w:color="auto" w:fill="D9D9D9" w:themeFill="background1" w:themeFillShade="D9"/>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Korrektur der Tarifzonen-Grundeinteilung (TZ +/-)</w:t>
            </w:r>
          </w:p>
        </w:tc>
      </w:tr>
      <w:tr w:rsidR="00ED460E" w:rsidRPr="002B7200" w:rsidTr="00ED460E">
        <w:trPr>
          <w:cantSplit/>
          <w:trHeight w:val="28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1</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sidRPr="002B7200">
              <w:rPr>
                <w:rFonts w:cs="Arial"/>
                <w:sz w:val="18"/>
                <w:szCs w:val="18"/>
              </w:rPr>
              <w:t>n.a.</w:t>
            </w:r>
          </w:p>
        </w:tc>
        <w:tc>
          <w:tcPr>
            <w:tcW w:w="1998"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rPr>
            </w:pPr>
            <w:r w:rsidRPr="002B7200">
              <w:rPr>
                <w:rFonts w:cs="Arial"/>
                <w:sz w:val="18"/>
                <w:szCs w:val="18"/>
              </w:rPr>
              <w:t>--</w:t>
            </w:r>
          </w:p>
        </w:tc>
        <w:tc>
          <w:tcPr>
            <w:tcW w:w="2538" w:type="dxa"/>
            <w:shd w:val="clear" w:color="auto" w:fill="FFFFFF" w:themeFill="background1"/>
            <w:vAlign w:val="center"/>
          </w:tcPr>
          <w:p w:rsidR="00ED460E" w:rsidRPr="002B7200" w:rsidRDefault="00ED460E" w:rsidP="00ED460E">
            <w:pPr>
              <w:tabs>
                <w:tab w:val="center" w:pos="4819"/>
              </w:tabs>
              <w:jc w:val="center"/>
              <w:rPr>
                <w:rFonts w:cs="Arial"/>
                <w:sz w:val="18"/>
              </w:rPr>
            </w:pPr>
            <w:r w:rsidRPr="002B7200">
              <w:rPr>
                <w:rFonts w:cs="Arial"/>
                <w:sz w:val="18"/>
                <w:szCs w:val="18"/>
              </w:rPr>
              <w:t>--</w:t>
            </w:r>
          </w:p>
        </w:tc>
        <w:tc>
          <w:tcPr>
            <w:tcW w:w="1525" w:type="dxa"/>
            <w:shd w:val="clear" w:color="auto" w:fill="FFFFFF" w:themeFill="background1"/>
            <w:vAlign w:val="center"/>
          </w:tcPr>
          <w:p w:rsidR="00ED460E" w:rsidRPr="002B7200" w:rsidRDefault="00ED460E" w:rsidP="00ED460E">
            <w:pPr>
              <w:tabs>
                <w:tab w:val="left" w:pos="284"/>
                <w:tab w:val="center" w:pos="4819"/>
              </w:tabs>
              <w:jc w:val="center"/>
              <w:rPr>
                <w:rFonts w:cs="Arial"/>
                <w:sz w:val="18"/>
              </w:rPr>
            </w:pPr>
            <w:r w:rsidRPr="002B7200">
              <w:rPr>
                <w:rFonts w:cs="Arial"/>
                <w:sz w:val="18"/>
                <w:szCs w:val="18"/>
              </w:rPr>
              <w:t>--</w:t>
            </w:r>
          </w:p>
        </w:tc>
      </w:tr>
      <w:tr w:rsidR="00ED460E" w:rsidRPr="002B7200" w:rsidTr="00ED460E">
        <w:trPr>
          <w:cantSplit/>
          <w:trHeight w:val="28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2</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rPr>
              <w:t>n.a.</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rPr>
              <w:t xml:space="preserve">1 Wohnung </w:t>
            </w:r>
            <w:r w:rsidRPr="002B7200">
              <w:rPr>
                <w:rFonts w:cs="Arial"/>
                <w:sz w:val="18"/>
              </w:rPr>
              <w:br/>
            </w:r>
            <w:r w:rsidRPr="002B7200">
              <w:rPr>
                <w:rFonts w:cs="Arial"/>
                <w:sz w:val="16"/>
              </w:rPr>
              <w:t>(Wohnungsäquivalent)</w:t>
            </w:r>
          </w:p>
        </w:tc>
        <w:tc>
          <w:tcPr>
            <w:tcW w:w="2538" w:type="dxa"/>
            <w:shd w:val="clear" w:color="auto" w:fill="FFFFFF" w:themeFill="background1"/>
            <w:vAlign w:val="center"/>
          </w:tcPr>
          <w:p w:rsidR="00ED460E" w:rsidRPr="002B7200" w:rsidRDefault="00ED460E" w:rsidP="00ED460E">
            <w:pPr>
              <w:tabs>
                <w:tab w:val="left" w:pos="497"/>
                <w:tab w:val="right" w:pos="1142"/>
                <w:tab w:val="center" w:pos="4819"/>
              </w:tabs>
              <w:ind w:left="2"/>
              <w:rPr>
                <w:rFonts w:cs="Arial"/>
                <w:sz w:val="18"/>
                <w:szCs w:val="18"/>
              </w:rPr>
            </w:pPr>
            <w:r w:rsidRPr="002B7200">
              <w:rPr>
                <w:rFonts w:cs="Arial"/>
                <w:sz w:val="18"/>
                <w:szCs w:val="18"/>
              </w:rPr>
              <w:t xml:space="preserve">2 - 3 Wohnungen </w:t>
            </w:r>
          </w:p>
          <w:p w:rsidR="00ED460E" w:rsidRPr="002B7200" w:rsidRDefault="00ED460E" w:rsidP="00ED460E">
            <w:pPr>
              <w:tabs>
                <w:tab w:val="left" w:pos="497"/>
                <w:tab w:val="right" w:pos="1142"/>
                <w:tab w:val="center" w:pos="4819"/>
              </w:tabs>
              <w:ind w:left="2"/>
              <w:rPr>
                <w:rFonts w:cs="Arial"/>
                <w:sz w:val="18"/>
              </w:rPr>
            </w:pPr>
            <w:r w:rsidRPr="002B7200">
              <w:rPr>
                <w:rFonts w:cs="Arial"/>
                <w:sz w:val="18"/>
                <w:szCs w:val="18"/>
              </w:rPr>
              <w:t>4 und mehr Wohnungen</w:t>
            </w:r>
          </w:p>
        </w:tc>
        <w:tc>
          <w:tcPr>
            <w:tcW w:w="1525" w:type="dxa"/>
            <w:shd w:val="clear" w:color="auto" w:fill="FFFFFF" w:themeFill="background1"/>
            <w:vAlign w:val="center"/>
          </w:tcPr>
          <w:p w:rsidR="00ED460E" w:rsidRPr="002B7200" w:rsidRDefault="00ED460E" w:rsidP="00ED460E">
            <w:pPr>
              <w:tabs>
                <w:tab w:val="left" w:pos="284"/>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671"/>
                <w:tab w:val="right" w:pos="923"/>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3</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2</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1 Wohnung</w:t>
            </w:r>
          </w:p>
        </w:tc>
        <w:tc>
          <w:tcPr>
            <w:tcW w:w="2538" w:type="dxa"/>
            <w:shd w:val="clear" w:color="auto" w:fill="FFFFFF" w:themeFill="background1"/>
            <w:vAlign w:val="center"/>
          </w:tcPr>
          <w:p w:rsidR="00ED460E" w:rsidRPr="002B7200" w:rsidRDefault="00ED460E" w:rsidP="00ED460E">
            <w:pPr>
              <w:tabs>
                <w:tab w:val="left" w:pos="497"/>
                <w:tab w:val="right" w:pos="1142"/>
                <w:tab w:val="center" w:pos="4819"/>
              </w:tabs>
              <w:ind w:left="2"/>
              <w:rPr>
                <w:rFonts w:cs="Arial"/>
                <w:sz w:val="18"/>
                <w:szCs w:val="18"/>
              </w:rPr>
            </w:pPr>
            <w:r w:rsidRPr="002B7200">
              <w:rPr>
                <w:rFonts w:cs="Arial"/>
                <w:sz w:val="18"/>
                <w:szCs w:val="18"/>
              </w:rPr>
              <w:t>2 - 3 Wohnungen</w:t>
            </w:r>
          </w:p>
          <w:p w:rsidR="00ED460E" w:rsidRPr="002B7200" w:rsidRDefault="00ED460E" w:rsidP="00ED460E">
            <w:pPr>
              <w:tabs>
                <w:tab w:val="left" w:pos="497"/>
                <w:tab w:val="right" w:pos="1142"/>
                <w:tab w:val="center" w:pos="4819"/>
              </w:tabs>
              <w:ind w:left="2"/>
              <w:rPr>
                <w:rFonts w:cs="Arial"/>
                <w:sz w:val="18"/>
              </w:rPr>
            </w:pPr>
            <w:r w:rsidRPr="002B7200">
              <w:rPr>
                <w:rFonts w:cs="Arial"/>
                <w:sz w:val="18"/>
                <w:szCs w:val="18"/>
              </w:rPr>
              <w:t>4 und mehr Wohnungen</w:t>
            </w:r>
          </w:p>
        </w:tc>
        <w:tc>
          <w:tcPr>
            <w:tcW w:w="1525" w:type="dxa"/>
            <w:shd w:val="clear" w:color="auto" w:fill="FFFFFF" w:themeFill="background1"/>
            <w:vAlign w:val="center"/>
          </w:tcPr>
          <w:p w:rsidR="00ED460E" w:rsidRPr="002B7200" w:rsidRDefault="00ED460E" w:rsidP="00ED460E">
            <w:pPr>
              <w:tabs>
                <w:tab w:val="left" w:pos="284"/>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4</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2.5</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1 Wohnung</w:t>
            </w:r>
          </w:p>
        </w:tc>
        <w:tc>
          <w:tcPr>
            <w:tcW w:w="2538" w:type="dxa"/>
            <w:shd w:val="clear" w:color="auto" w:fill="FFFFFF" w:themeFill="background1"/>
            <w:vAlign w:val="center"/>
          </w:tcPr>
          <w:p w:rsidR="00ED460E" w:rsidRPr="002B7200" w:rsidRDefault="00ED460E" w:rsidP="00ED460E">
            <w:pPr>
              <w:tabs>
                <w:tab w:val="left" w:pos="497"/>
                <w:tab w:val="right" w:pos="1142"/>
                <w:tab w:val="center" w:pos="4819"/>
              </w:tabs>
              <w:ind w:left="2"/>
              <w:rPr>
                <w:rFonts w:cs="Arial"/>
                <w:sz w:val="18"/>
                <w:szCs w:val="18"/>
              </w:rPr>
            </w:pPr>
            <w:r w:rsidRPr="002B7200">
              <w:rPr>
                <w:rFonts w:cs="Arial"/>
                <w:sz w:val="18"/>
                <w:szCs w:val="18"/>
              </w:rPr>
              <w:t>2 - 3 Wohnungen</w:t>
            </w:r>
          </w:p>
          <w:p w:rsidR="00ED460E" w:rsidRPr="002B7200" w:rsidRDefault="00ED460E" w:rsidP="00ED460E">
            <w:pPr>
              <w:tabs>
                <w:tab w:val="center" w:pos="4819"/>
              </w:tabs>
              <w:ind w:left="2"/>
              <w:rPr>
                <w:rFonts w:cs="Arial"/>
                <w:sz w:val="18"/>
              </w:rPr>
            </w:pPr>
            <w:r w:rsidRPr="002B7200">
              <w:rPr>
                <w:rFonts w:cs="Arial"/>
                <w:sz w:val="18"/>
                <w:szCs w:val="18"/>
              </w:rPr>
              <w:t>4 und mehr Wohnungen</w:t>
            </w:r>
          </w:p>
        </w:tc>
        <w:tc>
          <w:tcPr>
            <w:tcW w:w="1525" w:type="dxa"/>
            <w:shd w:val="clear" w:color="auto" w:fill="FFFFFF" w:themeFill="background1"/>
            <w:vAlign w:val="center"/>
          </w:tcPr>
          <w:p w:rsidR="00ED460E" w:rsidRPr="002B7200" w:rsidRDefault="00ED460E" w:rsidP="00ED460E">
            <w:pPr>
              <w:tabs>
                <w:tab w:val="left" w:pos="284"/>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5</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3</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2 - 4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1 Wohnung</w:t>
            </w:r>
          </w:p>
          <w:p w:rsidR="00ED460E" w:rsidRPr="002B7200" w:rsidRDefault="00ED460E" w:rsidP="00ED460E">
            <w:pPr>
              <w:tabs>
                <w:tab w:val="center" w:pos="4819"/>
              </w:tabs>
              <w:ind w:left="2"/>
              <w:rPr>
                <w:rFonts w:cs="Arial"/>
                <w:sz w:val="18"/>
                <w:szCs w:val="18"/>
              </w:rPr>
            </w:pPr>
            <w:r w:rsidRPr="002B7200">
              <w:rPr>
                <w:rFonts w:cs="Arial"/>
                <w:sz w:val="18"/>
                <w:szCs w:val="18"/>
              </w:rPr>
              <w:t>5 - 6 Wohnungen</w:t>
            </w:r>
          </w:p>
          <w:p w:rsidR="00ED460E" w:rsidRPr="002B7200" w:rsidRDefault="00ED460E" w:rsidP="00ED460E">
            <w:pPr>
              <w:tabs>
                <w:tab w:val="center" w:pos="4819"/>
              </w:tabs>
              <w:ind w:left="2"/>
              <w:rPr>
                <w:rFonts w:cs="Arial"/>
                <w:sz w:val="18"/>
              </w:rPr>
            </w:pPr>
            <w:r w:rsidRPr="002B7200">
              <w:rPr>
                <w:rFonts w:cs="Arial"/>
                <w:sz w:val="18"/>
                <w:szCs w:val="18"/>
              </w:rPr>
              <w:t>7 und mehr Wohnungen</w:t>
            </w:r>
          </w:p>
        </w:tc>
        <w:tc>
          <w:tcPr>
            <w:tcW w:w="1525" w:type="dxa"/>
            <w:shd w:val="clear" w:color="auto" w:fill="FFFFFF" w:themeFill="background1"/>
            <w:vAlign w:val="center"/>
          </w:tcPr>
          <w:p w:rsidR="00ED460E" w:rsidRPr="002B7200" w:rsidRDefault="00ED460E" w:rsidP="00ED460E">
            <w:pPr>
              <w:tabs>
                <w:tab w:val="left" w:pos="284"/>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 xml:space="preserve">6 </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3.5</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3 - 6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1 Wohnung</w:t>
            </w:r>
          </w:p>
          <w:p w:rsidR="00ED460E" w:rsidRPr="002B7200" w:rsidRDefault="00ED460E" w:rsidP="00ED460E">
            <w:pPr>
              <w:tabs>
                <w:tab w:val="center" w:pos="4819"/>
              </w:tabs>
              <w:ind w:left="2"/>
              <w:rPr>
                <w:rFonts w:cs="Arial"/>
                <w:sz w:val="18"/>
                <w:szCs w:val="18"/>
              </w:rPr>
            </w:pPr>
            <w:r w:rsidRPr="002B7200">
              <w:rPr>
                <w:rFonts w:cs="Arial"/>
                <w:sz w:val="18"/>
                <w:szCs w:val="18"/>
              </w:rPr>
              <w:t>2 Wohnungen</w:t>
            </w:r>
          </w:p>
          <w:p w:rsidR="00ED460E" w:rsidRPr="002B7200" w:rsidRDefault="00ED460E" w:rsidP="00ED460E">
            <w:pPr>
              <w:tabs>
                <w:tab w:val="center" w:pos="4819"/>
              </w:tabs>
              <w:ind w:left="2"/>
              <w:rPr>
                <w:rFonts w:cs="Arial"/>
                <w:sz w:val="18"/>
                <w:szCs w:val="18"/>
              </w:rPr>
            </w:pPr>
            <w:r w:rsidRPr="002B7200">
              <w:rPr>
                <w:rFonts w:cs="Arial"/>
                <w:sz w:val="18"/>
                <w:szCs w:val="18"/>
              </w:rPr>
              <w:t>7 - 8 Wohnungen</w:t>
            </w:r>
          </w:p>
          <w:p w:rsidR="00ED460E" w:rsidRPr="002B7200" w:rsidRDefault="00ED460E" w:rsidP="00ED460E">
            <w:pPr>
              <w:tabs>
                <w:tab w:val="center" w:pos="4819"/>
              </w:tabs>
              <w:ind w:left="2"/>
              <w:rPr>
                <w:rFonts w:cs="Arial"/>
                <w:sz w:val="18"/>
              </w:rPr>
            </w:pPr>
            <w:r w:rsidRPr="002B7200">
              <w:rPr>
                <w:rFonts w:cs="Arial"/>
                <w:sz w:val="18"/>
                <w:szCs w:val="18"/>
              </w:rPr>
              <w:t>9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 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7</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4</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4 - 7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1 - 2 Wohnungen</w:t>
            </w:r>
          </w:p>
          <w:p w:rsidR="00ED460E" w:rsidRPr="002B7200" w:rsidRDefault="00ED460E" w:rsidP="00ED460E">
            <w:pPr>
              <w:tabs>
                <w:tab w:val="center" w:pos="4819"/>
              </w:tabs>
              <w:ind w:left="2"/>
              <w:rPr>
                <w:rFonts w:cs="Arial"/>
                <w:sz w:val="18"/>
                <w:szCs w:val="18"/>
              </w:rPr>
            </w:pPr>
            <w:r w:rsidRPr="002B7200">
              <w:rPr>
                <w:rFonts w:cs="Arial"/>
                <w:sz w:val="18"/>
                <w:szCs w:val="18"/>
              </w:rPr>
              <w:t>3 Wohnungen</w:t>
            </w:r>
          </w:p>
          <w:p w:rsidR="00ED460E" w:rsidRPr="002B7200" w:rsidRDefault="00ED460E" w:rsidP="00ED460E">
            <w:pPr>
              <w:tabs>
                <w:tab w:val="center" w:pos="4819"/>
              </w:tabs>
              <w:ind w:left="2"/>
              <w:rPr>
                <w:rFonts w:cs="Arial"/>
                <w:sz w:val="18"/>
                <w:szCs w:val="18"/>
              </w:rPr>
            </w:pPr>
            <w:r w:rsidRPr="002B7200">
              <w:rPr>
                <w:rFonts w:cs="Arial"/>
                <w:sz w:val="18"/>
                <w:szCs w:val="18"/>
              </w:rPr>
              <w:t>8 - 10 Wohnungen</w:t>
            </w:r>
          </w:p>
          <w:p w:rsidR="00ED460E" w:rsidRPr="002B7200" w:rsidRDefault="00ED460E" w:rsidP="00ED460E">
            <w:pPr>
              <w:tabs>
                <w:tab w:val="left" w:pos="497"/>
                <w:tab w:val="right" w:pos="1142"/>
                <w:tab w:val="center" w:pos="4819"/>
              </w:tabs>
              <w:ind w:left="2"/>
              <w:rPr>
                <w:rFonts w:cs="Arial"/>
                <w:sz w:val="18"/>
              </w:rPr>
            </w:pPr>
            <w:r w:rsidRPr="002B7200">
              <w:rPr>
                <w:rFonts w:cs="Arial"/>
                <w:sz w:val="18"/>
                <w:szCs w:val="18"/>
              </w:rPr>
              <w:t>11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8</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5</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6 - 9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1 - 2 Wohnungen</w:t>
            </w:r>
          </w:p>
          <w:p w:rsidR="00ED460E" w:rsidRPr="002B7200" w:rsidRDefault="00ED460E" w:rsidP="00ED460E">
            <w:pPr>
              <w:tabs>
                <w:tab w:val="center" w:pos="4819"/>
              </w:tabs>
              <w:ind w:left="2"/>
              <w:rPr>
                <w:rFonts w:cs="Arial"/>
                <w:sz w:val="18"/>
                <w:szCs w:val="18"/>
              </w:rPr>
            </w:pPr>
            <w:r w:rsidRPr="002B7200">
              <w:rPr>
                <w:rFonts w:cs="Arial"/>
                <w:sz w:val="18"/>
                <w:szCs w:val="18"/>
              </w:rPr>
              <w:t>3 - 5 Wohnungen</w:t>
            </w:r>
          </w:p>
          <w:p w:rsidR="00ED460E" w:rsidRPr="002B7200" w:rsidRDefault="00ED460E" w:rsidP="00ED460E">
            <w:pPr>
              <w:tabs>
                <w:tab w:val="center" w:pos="4819"/>
              </w:tabs>
              <w:ind w:left="2"/>
              <w:rPr>
                <w:rFonts w:cs="Arial"/>
                <w:sz w:val="18"/>
                <w:szCs w:val="18"/>
              </w:rPr>
            </w:pPr>
            <w:r w:rsidRPr="002B7200">
              <w:rPr>
                <w:rFonts w:cs="Arial"/>
                <w:sz w:val="18"/>
                <w:szCs w:val="18"/>
              </w:rPr>
              <w:t>10 - 12 Wohnungen</w:t>
            </w:r>
          </w:p>
          <w:p w:rsidR="00ED460E" w:rsidRPr="002B7200" w:rsidRDefault="00ED460E" w:rsidP="00ED460E">
            <w:pPr>
              <w:tabs>
                <w:tab w:val="center" w:pos="4819"/>
              </w:tabs>
              <w:ind w:left="2"/>
              <w:rPr>
                <w:rFonts w:cs="Arial"/>
                <w:sz w:val="18"/>
              </w:rPr>
            </w:pPr>
            <w:r w:rsidRPr="002B7200">
              <w:rPr>
                <w:rFonts w:cs="Arial"/>
                <w:sz w:val="18"/>
                <w:szCs w:val="18"/>
              </w:rPr>
              <w:t>13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szCs w:val="18"/>
              </w:rPr>
              <w:t>9</w:t>
            </w:r>
          </w:p>
        </w:tc>
        <w:tc>
          <w:tcPr>
            <w:tcW w:w="1134"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szCs w:val="18"/>
              </w:rPr>
            </w:pPr>
            <w:r w:rsidRPr="002B7200">
              <w:rPr>
                <w:rFonts w:cs="Arial"/>
                <w:sz w:val="18"/>
                <w:szCs w:val="18"/>
              </w:rPr>
              <w:t>6</w:t>
            </w:r>
          </w:p>
        </w:tc>
        <w:tc>
          <w:tcPr>
            <w:tcW w:w="1998" w:type="dxa"/>
            <w:shd w:val="clear" w:color="auto" w:fill="FFFFFF" w:themeFill="background1"/>
            <w:vAlign w:val="center"/>
          </w:tcPr>
          <w:p w:rsidR="00ED460E" w:rsidRPr="002B7200" w:rsidRDefault="00ED460E" w:rsidP="00ED460E">
            <w:pPr>
              <w:tabs>
                <w:tab w:val="right" w:pos="987"/>
                <w:tab w:val="right" w:pos="1420"/>
                <w:tab w:val="right" w:pos="1533"/>
                <w:tab w:val="center" w:pos="4819"/>
              </w:tabs>
              <w:jc w:val="center"/>
              <w:rPr>
                <w:rFonts w:cs="Arial"/>
                <w:sz w:val="18"/>
              </w:rPr>
            </w:pPr>
            <w:r w:rsidRPr="002B7200">
              <w:rPr>
                <w:rFonts w:cs="Arial"/>
                <w:sz w:val="18"/>
                <w:szCs w:val="18"/>
              </w:rPr>
              <w:t>11 -13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bis 5 Wohnungen</w:t>
            </w:r>
          </w:p>
          <w:p w:rsidR="00ED460E" w:rsidRPr="002B7200" w:rsidRDefault="00ED460E" w:rsidP="00ED460E">
            <w:pPr>
              <w:tabs>
                <w:tab w:val="center" w:pos="4819"/>
              </w:tabs>
              <w:ind w:left="2"/>
              <w:rPr>
                <w:rFonts w:cs="Arial"/>
                <w:sz w:val="18"/>
                <w:szCs w:val="18"/>
              </w:rPr>
            </w:pPr>
            <w:r w:rsidRPr="002B7200">
              <w:rPr>
                <w:rFonts w:cs="Arial"/>
                <w:sz w:val="18"/>
                <w:szCs w:val="18"/>
              </w:rPr>
              <w:t>6 - 10 Wohnungen</w:t>
            </w:r>
          </w:p>
          <w:p w:rsidR="00ED460E" w:rsidRPr="002B7200" w:rsidRDefault="00ED460E" w:rsidP="00ED460E">
            <w:pPr>
              <w:tabs>
                <w:tab w:val="center" w:pos="4819"/>
              </w:tabs>
              <w:ind w:left="2"/>
              <w:rPr>
                <w:rFonts w:cs="Arial"/>
                <w:sz w:val="18"/>
                <w:szCs w:val="18"/>
              </w:rPr>
            </w:pPr>
            <w:r w:rsidRPr="002B7200">
              <w:rPr>
                <w:rFonts w:cs="Arial"/>
                <w:sz w:val="18"/>
                <w:szCs w:val="18"/>
              </w:rPr>
              <w:t>14 - 16 Wohnungen</w:t>
            </w:r>
          </w:p>
          <w:p w:rsidR="00ED460E" w:rsidRPr="002B7200" w:rsidRDefault="00ED460E" w:rsidP="00ED460E">
            <w:pPr>
              <w:tabs>
                <w:tab w:val="center" w:pos="4819"/>
              </w:tabs>
              <w:ind w:left="2"/>
              <w:rPr>
                <w:rFonts w:cs="Arial"/>
                <w:sz w:val="18"/>
              </w:rPr>
            </w:pPr>
            <w:r w:rsidRPr="002B7200">
              <w:rPr>
                <w:rFonts w:cs="Arial"/>
                <w:sz w:val="18"/>
                <w:szCs w:val="18"/>
              </w:rPr>
              <w:t>17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10</w:t>
            </w:r>
          </w:p>
          <w:p w:rsidR="00ED460E" w:rsidRPr="002B7200" w:rsidRDefault="00ED460E" w:rsidP="00ED460E">
            <w:pPr>
              <w:tabs>
                <w:tab w:val="left" w:pos="284"/>
                <w:tab w:val="center" w:pos="4819"/>
              </w:tabs>
              <w:jc w:val="center"/>
              <w:rPr>
                <w:rFonts w:cs="Arial"/>
                <w:bCs/>
                <w:sz w:val="18"/>
              </w:rPr>
            </w:pPr>
            <w:r w:rsidRPr="002B7200">
              <w:rPr>
                <w:rFonts w:cs="Arial"/>
                <w:bCs/>
                <w:sz w:val="18"/>
              </w:rPr>
              <w:t>ausgenommen Strassen, Wege, Plätze</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sidRPr="002B7200">
              <w:rPr>
                <w:rFonts w:cs="Arial"/>
                <w:sz w:val="18"/>
                <w:szCs w:val="18"/>
              </w:rPr>
              <w:t>7</w:t>
            </w:r>
          </w:p>
        </w:tc>
        <w:tc>
          <w:tcPr>
            <w:tcW w:w="1998"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rPr>
            </w:pPr>
            <w:r w:rsidRPr="002B7200">
              <w:rPr>
                <w:rFonts w:cs="Arial"/>
                <w:sz w:val="18"/>
                <w:szCs w:val="18"/>
              </w:rPr>
              <w:t>15 - 17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bis 10 Wohnungen</w:t>
            </w:r>
          </w:p>
          <w:p w:rsidR="00ED460E" w:rsidRPr="002B7200" w:rsidRDefault="00ED460E" w:rsidP="00ED460E">
            <w:pPr>
              <w:tabs>
                <w:tab w:val="center" w:pos="4819"/>
              </w:tabs>
              <w:ind w:left="2"/>
              <w:rPr>
                <w:rFonts w:cs="Arial"/>
                <w:sz w:val="18"/>
                <w:szCs w:val="18"/>
              </w:rPr>
            </w:pPr>
            <w:r w:rsidRPr="002B7200">
              <w:rPr>
                <w:rFonts w:cs="Arial"/>
                <w:sz w:val="18"/>
                <w:szCs w:val="18"/>
              </w:rPr>
              <w:t>11 - 14 Wohnungen</w:t>
            </w:r>
          </w:p>
          <w:p w:rsidR="00ED460E" w:rsidRPr="002B7200" w:rsidRDefault="00ED460E" w:rsidP="00ED460E">
            <w:pPr>
              <w:tabs>
                <w:tab w:val="center" w:pos="4819"/>
              </w:tabs>
              <w:ind w:left="2"/>
              <w:rPr>
                <w:rFonts w:cs="Arial"/>
                <w:sz w:val="18"/>
                <w:szCs w:val="18"/>
              </w:rPr>
            </w:pPr>
            <w:r w:rsidRPr="002B7200">
              <w:rPr>
                <w:rFonts w:cs="Arial"/>
                <w:sz w:val="18"/>
                <w:szCs w:val="18"/>
              </w:rPr>
              <w:t>18 - 20 Wohnungen</w:t>
            </w:r>
          </w:p>
          <w:p w:rsidR="00ED460E" w:rsidRPr="002B7200" w:rsidRDefault="00ED460E" w:rsidP="00ED460E">
            <w:pPr>
              <w:tabs>
                <w:tab w:val="center" w:pos="4819"/>
              </w:tabs>
              <w:ind w:left="2"/>
              <w:rPr>
                <w:rFonts w:cs="Arial"/>
                <w:sz w:val="18"/>
              </w:rPr>
            </w:pPr>
            <w:r w:rsidRPr="002B7200">
              <w:rPr>
                <w:rFonts w:cs="Arial"/>
                <w:sz w:val="18"/>
                <w:szCs w:val="18"/>
              </w:rPr>
              <w:t>21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11</w:t>
            </w:r>
          </w:p>
        </w:tc>
        <w:tc>
          <w:tcPr>
            <w:tcW w:w="1134" w:type="dxa"/>
            <w:shd w:val="clear" w:color="auto" w:fill="FFFFFF" w:themeFill="background1"/>
            <w:vAlign w:val="center"/>
          </w:tcPr>
          <w:p w:rsidR="00ED460E" w:rsidRPr="002B7200" w:rsidDel="0030559F" w:rsidRDefault="00ED460E" w:rsidP="00ED460E">
            <w:pPr>
              <w:tabs>
                <w:tab w:val="right" w:pos="1420"/>
                <w:tab w:val="center" w:pos="4819"/>
              </w:tabs>
              <w:jc w:val="center"/>
              <w:rPr>
                <w:rFonts w:cs="Arial"/>
                <w:sz w:val="18"/>
                <w:szCs w:val="18"/>
              </w:rPr>
            </w:pPr>
            <w:r w:rsidRPr="002B7200">
              <w:rPr>
                <w:rFonts w:cs="Arial"/>
                <w:sz w:val="18"/>
                <w:szCs w:val="18"/>
              </w:rPr>
              <w:t>8</w:t>
            </w:r>
          </w:p>
        </w:tc>
        <w:tc>
          <w:tcPr>
            <w:tcW w:w="1998"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rPr>
            </w:pPr>
            <w:r w:rsidRPr="002B7200">
              <w:rPr>
                <w:rFonts w:cs="Arial"/>
                <w:sz w:val="18"/>
                <w:szCs w:val="18"/>
              </w:rPr>
              <w:t>20 - 23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bis 14 Wohnungen</w:t>
            </w:r>
          </w:p>
          <w:p w:rsidR="00ED460E" w:rsidRPr="002B7200" w:rsidRDefault="00ED460E" w:rsidP="00ED460E">
            <w:pPr>
              <w:tabs>
                <w:tab w:val="center" w:pos="4819"/>
              </w:tabs>
              <w:ind w:left="2"/>
              <w:rPr>
                <w:rFonts w:cs="Arial"/>
                <w:sz w:val="18"/>
                <w:szCs w:val="18"/>
              </w:rPr>
            </w:pPr>
            <w:r w:rsidRPr="002B7200">
              <w:rPr>
                <w:rFonts w:cs="Arial"/>
                <w:sz w:val="18"/>
                <w:szCs w:val="18"/>
              </w:rPr>
              <w:t>15 - 19 Wohnungen</w:t>
            </w:r>
          </w:p>
          <w:p w:rsidR="00ED460E" w:rsidRPr="002B7200" w:rsidRDefault="00ED460E" w:rsidP="00ED460E">
            <w:pPr>
              <w:tabs>
                <w:tab w:val="center" w:pos="4819"/>
              </w:tabs>
              <w:ind w:left="2"/>
              <w:rPr>
                <w:rFonts w:cs="Arial"/>
                <w:sz w:val="18"/>
                <w:szCs w:val="18"/>
              </w:rPr>
            </w:pPr>
            <w:r w:rsidRPr="002B7200">
              <w:rPr>
                <w:rFonts w:cs="Arial"/>
                <w:sz w:val="18"/>
                <w:szCs w:val="18"/>
              </w:rPr>
              <w:t>24 - 27 Wohnungen</w:t>
            </w:r>
          </w:p>
          <w:p w:rsidR="00ED460E" w:rsidRPr="002B7200" w:rsidRDefault="00ED460E" w:rsidP="00ED460E">
            <w:pPr>
              <w:tabs>
                <w:tab w:val="center" w:pos="4819"/>
              </w:tabs>
              <w:ind w:left="2"/>
              <w:rPr>
                <w:rFonts w:cs="Arial"/>
                <w:sz w:val="18"/>
              </w:rPr>
            </w:pPr>
            <w:r w:rsidRPr="002B7200">
              <w:rPr>
                <w:rFonts w:cs="Arial"/>
                <w:sz w:val="18"/>
                <w:szCs w:val="18"/>
              </w:rPr>
              <w:t>28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12</w:t>
            </w:r>
          </w:p>
        </w:tc>
        <w:tc>
          <w:tcPr>
            <w:tcW w:w="1134" w:type="dxa"/>
            <w:shd w:val="clear" w:color="auto" w:fill="FFFFFF" w:themeFill="background1"/>
            <w:vAlign w:val="center"/>
          </w:tcPr>
          <w:p w:rsidR="00ED460E" w:rsidRPr="002B7200" w:rsidDel="0030559F" w:rsidRDefault="00ED460E" w:rsidP="00ED460E">
            <w:pPr>
              <w:tabs>
                <w:tab w:val="right" w:pos="1420"/>
                <w:tab w:val="center" w:pos="4819"/>
              </w:tabs>
              <w:jc w:val="center"/>
              <w:rPr>
                <w:rFonts w:cs="Arial"/>
                <w:sz w:val="18"/>
                <w:szCs w:val="18"/>
              </w:rPr>
            </w:pPr>
            <w:r w:rsidRPr="002B7200">
              <w:rPr>
                <w:rFonts w:cs="Arial"/>
                <w:sz w:val="18"/>
                <w:szCs w:val="18"/>
              </w:rPr>
              <w:t>9</w:t>
            </w:r>
          </w:p>
        </w:tc>
        <w:tc>
          <w:tcPr>
            <w:tcW w:w="1998"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rPr>
            </w:pPr>
            <w:r>
              <w:rPr>
                <w:rFonts w:cs="Arial"/>
                <w:sz w:val="18"/>
                <w:szCs w:val="18"/>
              </w:rPr>
              <w:t>25</w:t>
            </w:r>
            <w:r w:rsidRPr="002B7200">
              <w:rPr>
                <w:rFonts w:cs="Arial"/>
                <w:sz w:val="18"/>
                <w:szCs w:val="18"/>
              </w:rPr>
              <w:t xml:space="preserve"> - </w:t>
            </w:r>
            <w:r>
              <w:rPr>
                <w:rFonts w:cs="Arial"/>
                <w:sz w:val="18"/>
                <w:szCs w:val="18"/>
              </w:rPr>
              <w:t>28</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bis 1</w:t>
            </w:r>
            <w:r>
              <w:rPr>
                <w:rFonts w:cs="Arial"/>
                <w:sz w:val="18"/>
                <w:szCs w:val="18"/>
              </w:rPr>
              <w:t>7</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18</w:t>
            </w:r>
            <w:r w:rsidRPr="002B7200">
              <w:rPr>
                <w:rFonts w:cs="Arial"/>
                <w:sz w:val="18"/>
                <w:szCs w:val="18"/>
              </w:rPr>
              <w:t xml:space="preserve"> - </w:t>
            </w:r>
            <w:r>
              <w:rPr>
                <w:rFonts w:cs="Arial"/>
                <w:sz w:val="18"/>
                <w:szCs w:val="18"/>
              </w:rPr>
              <w:t>24</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29</w:t>
            </w:r>
            <w:r w:rsidRPr="002B7200">
              <w:rPr>
                <w:rFonts w:cs="Arial"/>
                <w:sz w:val="18"/>
                <w:szCs w:val="18"/>
              </w:rPr>
              <w:t xml:space="preserve"> - 3</w:t>
            </w:r>
            <w:r>
              <w:rPr>
                <w:rFonts w:cs="Arial"/>
                <w:sz w:val="18"/>
                <w:szCs w:val="18"/>
              </w:rPr>
              <w:t>2</w:t>
            </w:r>
            <w:r w:rsidRPr="002B7200">
              <w:rPr>
                <w:rFonts w:cs="Arial"/>
                <w:sz w:val="18"/>
                <w:szCs w:val="18"/>
              </w:rPr>
              <w:t xml:space="preserve"> Wohnungen</w:t>
            </w:r>
          </w:p>
          <w:p w:rsidR="00ED460E" w:rsidRPr="002B7200" w:rsidRDefault="00ED460E" w:rsidP="00ED460E">
            <w:pPr>
              <w:tabs>
                <w:tab w:val="center" w:pos="4819"/>
              </w:tabs>
              <w:ind w:left="2"/>
              <w:rPr>
                <w:rFonts w:cs="Arial"/>
                <w:sz w:val="18"/>
              </w:rPr>
            </w:pPr>
            <w:r w:rsidRPr="002B7200">
              <w:rPr>
                <w:rFonts w:cs="Arial"/>
                <w:sz w:val="18"/>
                <w:szCs w:val="18"/>
              </w:rPr>
              <w:t>3</w:t>
            </w:r>
            <w:r>
              <w:rPr>
                <w:rFonts w:cs="Arial"/>
                <w:sz w:val="18"/>
                <w:szCs w:val="18"/>
              </w:rPr>
              <w:t>3</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13</w:t>
            </w:r>
          </w:p>
        </w:tc>
        <w:tc>
          <w:tcPr>
            <w:tcW w:w="1134" w:type="dxa"/>
            <w:shd w:val="clear" w:color="auto" w:fill="FFFFFF" w:themeFill="background1"/>
            <w:vAlign w:val="center"/>
          </w:tcPr>
          <w:p w:rsidR="00ED460E" w:rsidRPr="002B7200" w:rsidDel="0030559F" w:rsidRDefault="00ED460E" w:rsidP="00ED460E">
            <w:pPr>
              <w:tabs>
                <w:tab w:val="right" w:pos="1420"/>
                <w:tab w:val="center" w:pos="4819"/>
              </w:tabs>
              <w:jc w:val="center"/>
              <w:rPr>
                <w:rFonts w:cs="Arial"/>
                <w:sz w:val="18"/>
                <w:szCs w:val="18"/>
              </w:rPr>
            </w:pPr>
            <w:r w:rsidRPr="002B7200">
              <w:rPr>
                <w:rFonts w:cs="Arial"/>
                <w:sz w:val="18"/>
                <w:szCs w:val="18"/>
              </w:rPr>
              <w:t>10</w:t>
            </w:r>
          </w:p>
        </w:tc>
        <w:tc>
          <w:tcPr>
            <w:tcW w:w="1998"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rPr>
            </w:pPr>
            <w:r>
              <w:rPr>
                <w:rFonts w:cs="Arial"/>
                <w:sz w:val="18"/>
                <w:szCs w:val="18"/>
              </w:rPr>
              <w:t>31</w:t>
            </w:r>
            <w:r w:rsidRPr="002B7200">
              <w:rPr>
                <w:rFonts w:cs="Arial"/>
                <w:sz w:val="18"/>
                <w:szCs w:val="18"/>
              </w:rPr>
              <w:t xml:space="preserve"> - 3</w:t>
            </w:r>
            <w:r>
              <w:rPr>
                <w:rFonts w:cs="Arial"/>
                <w:sz w:val="18"/>
                <w:szCs w:val="18"/>
              </w:rPr>
              <w:t>4</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23</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sidRPr="002B7200">
              <w:rPr>
                <w:rFonts w:cs="Arial"/>
                <w:sz w:val="18"/>
                <w:szCs w:val="18"/>
              </w:rPr>
              <w:t>2</w:t>
            </w:r>
            <w:r>
              <w:rPr>
                <w:rFonts w:cs="Arial"/>
                <w:sz w:val="18"/>
                <w:szCs w:val="18"/>
              </w:rPr>
              <w:t>4</w:t>
            </w:r>
            <w:r w:rsidRPr="002B7200">
              <w:rPr>
                <w:rFonts w:cs="Arial"/>
                <w:sz w:val="18"/>
                <w:szCs w:val="18"/>
              </w:rPr>
              <w:t xml:space="preserve"> - 3</w:t>
            </w:r>
            <w:r>
              <w:rPr>
                <w:rFonts w:cs="Arial"/>
                <w:sz w:val="18"/>
                <w:szCs w:val="18"/>
              </w:rPr>
              <w:t>0</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35</w:t>
            </w:r>
            <w:r w:rsidRPr="002B7200">
              <w:rPr>
                <w:rFonts w:cs="Arial"/>
                <w:sz w:val="18"/>
                <w:szCs w:val="18"/>
              </w:rPr>
              <w:t xml:space="preserve"> - </w:t>
            </w:r>
            <w:r>
              <w:rPr>
                <w:rFonts w:cs="Arial"/>
                <w:sz w:val="18"/>
                <w:szCs w:val="18"/>
              </w:rPr>
              <w:t>38</w:t>
            </w:r>
            <w:r w:rsidRPr="002B7200">
              <w:rPr>
                <w:rFonts w:cs="Arial"/>
                <w:sz w:val="18"/>
                <w:szCs w:val="18"/>
              </w:rPr>
              <w:t xml:space="preserve"> Wohnungen</w:t>
            </w:r>
          </w:p>
          <w:p w:rsidR="00ED460E" w:rsidRPr="002B7200" w:rsidRDefault="00ED460E" w:rsidP="00ED460E">
            <w:pPr>
              <w:tabs>
                <w:tab w:val="center" w:pos="4819"/>
              </w:tabs>
              <w:ind w:left="2"/>
              <w:rPr>
                <w:rFonts w:cs="Arial"/>
                <w:sz w:val="18"/>
              </w:rPr>
            </w:pPr>
            <w:r>
              <w:rPr>
                <w:rFonts w:cs="Arial"/>
                <w:sz w:val="18"/>
                <w:szCs w:val="18"/>
              </w:rPr>
              <w:t>39</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lastRenderedPageBreak/>
              <w:t>14</w:t>
            </w:r>
          </w:p>
        </w:tc>
        <w:tc>
          <w:tcPr>
            <w:tcW w:w="1134" w:type="dxa"/>
            <w:shd w:val="clear" w:color="auto" w:fill="FFFFFF" w:themeFill="background1"/>
            <w:vAlign w:val="center"/>
          </w:tcPr>
          <w:p w:rsidR="00ED460E" w:rsidRPr="002B7200" w:rsidDel="0030559F" w:rsidRDefault="00ED460E" w:rsidP="00ED460E">
            <w:pPr>
              <w:tabs>
                <w:tab w:val="right" w:pos="1420"/>
                <w:tab w:val="center" w:pos="4819"/>
              </w:tabs>
              <w:jc w:val="center"/>
              <w:rPr>
                <w:rFonts w:cs="Arial"/>
                <w:sz w:val="18"/>
                <w:szCs w:val="18"/>
              </w:rPr>
            </w:pPr>
            <w:r w:rsidRPr="002B7200">
              <w:rPr>
                <w:rFonts w:cs="Arial"/>
                <w:sz w:val="18"/>
                <w:szCs w:val="18"/>
              </w:rPr>
              <w:t>11</w:t>
            </w:r>
          </w:p>
        </w:tc>
        <w:tc>
          <w:tcPr>
            <w:tcW w:w="1998"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rPr>
            </w:pPr>
            <w:r>
              <w:rPr>
                <w:rFonts w:cs="Arial"/>
                <w:sz w:val="18"/>
                <w:szCs w:val="18"/>
              </w:rPr>
              <w:t>39</w:t>
            </w:r>
            <w:r w:rsidRPr="002B7200">
              <w:rPr>
                <w:rFonts w:cs="Arial"/>
                <w:sz w:val="18"/>
                <w:szCs w:val="18"/>
              </w:rPr>
              <w:t xml:space="preserve"> - 4</w:t>
            </w:r>
            <w:r>
              <w:rPr>
                <w:rFonts w:cs="Arial"/>
                <w:sz w:val="18"/>
                <w:szCs w:val="18"/>
              </w:rPr>
              <w:t>3</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29</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sidRPr="002B7200">
              <w:rPr>
                <w:rFonts w:cs="Arial"/>
                <w:sz w:val="18"/>
                <w:szCs w:val="18"/>
              </w:rPr>
              <w:t>3</w:t>
            </w:r>
            <w:r>
              <w:rPr>
                <w:rFonts w:cs="Arial"/>
                <w:sz w:val="18"/>
                <w:szCs w:val="18"/>
              </w:rPr>
              <w:t>0</w:t>
            </w:r>
            <w:r w:rsidRPr="002B7200">
              <w:rPr>
                <w:rFonts w:cs="Arial"/>
                <w:sz w:val="18"/>
                <w:szCs w:val="18"/>
              </w:rPr>
              <w:t xml:space="preserve"> - </w:t>
            </w:r>
            <w:r>
              <w:rPr>
                <w:rFonts w:cs="Arial"/>
                <w:sz w:val="18"/>
                <w:szCs w:val="18"/>
              </w:rPr>
              <w:t>38</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sidRPr="002B7200">
              <w:rPr>
                <w:rFonts w:cs="Arial"/>
                <w:sz w:val="18"/>
                <w:szCs w:val="18"/>
              </w:rPr>
              <w:t>4</w:t>
            </w:r>
            <w:r>
              <w:rPr>
                <w:rFonts w:cs="Arial"/>
                <w:sz w:val="18"/>
                <w:szCs w:val="18"/>
              </w:rPr>
              <w:t>4</w:t>
            </w:r>
            <w:r w:rsidRPr="002B7200">
              <w:rPr>
                <w:rFonts w:cs="Arial"/>
                <w:sz w:val="18"/>
                <w:szCs w:val="18"/>
              </w:rPr>
              <w:t xml:space="preserve"> - </w:t>
            </w:r>
            <w:r>
              <w:rPr>
                <w:rFonts w:cs="Arial"/>
                <w:sz w:val="18"/>
                <w:szCs w:val="18"/>
              </w:rPr>
              <w:t>48</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49</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left" w:pos="284"/>
                <w:tab w:val="center" w:pos="4819"/>
              </w:tabs>
              <w:jc w:val="center"/>
              <w:rPr>
                <w:rFonts w:cs="Arial"/>
                <w:sz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15</w:t>
            </w:r>
          </w:p>
        </w:tc>
        <w:tc>
          <w:tcPr>
            <w:tcW w:w="1134" w:type="dxa"/>
            <w:shd w:val="clear" w:color="auto" w:fill="FFFFFF" w:themeFill="background1"/>
            <w:vAlign w:val="center"/>
          </w:tcPr>
          <w:p w:rsidR="00ED460E" w:rsidRPr="002B7200" w:rsidDel="0030559F" w:rsidRDefault="00ED460E" w:rsidP="00ED460E">
            <w:pPr>
              <w:tabs>
                <w:tab w:val="right" w:pos="1420"/>
                <w:tab w:val="center" w:pos="4819"/>
              </w:tabs>
              <w:jc w:val="center"/>
              <w:rPr>
                <w:rFonts w:cs="Arial"/>
                <w:sz w:val="18"/>
                <w:szCs w:val="18"/>
              </w:rPr>
            </w:pPr>
            <w:r w:rsidRPr="002B7200">
              <w:rPr>
                <w:rFonts w:cs="Arial"/>
                <w:sz w:val="18"/>
                <w:szCs w:val="18"/>
              </w:rPr>
              <w:t>12</w:t>
            </w:r>
          </w:p>
        </w:tc>
        <w:tc>
          <w:tcPr>
            <w:tcW w:w="1998" w:type="dxa"/>
            <w:shd w:val="clear" w:color="auto" w:fill="FFFFFF" w:themeFill="background1"/>
            <w:vAlign w:val="center"/>
          </w:tcPr>
          <w:p w:rsidR="00ED460E" w:rsidRPr="002B7200" w:rsidDel="008E78FD" w:rsidRDefault="00ED460E" w:rsidP="00ED460E">
            <w:pPr>
              <w:tabs>
                <w:tab w:val="right" w:pos="1420"/>
                <w:tab w:val="center" w:pos="4819"/>
              </w:tabs>
              <w:jc w:val="center"/>
              <w:rPr>
                <w:rFonts w:cs="Arial"/>
                <w:sz w:val="18"/>
                <w:szCs w:val="18"/>
              </w:rPr>
            </w:pPr>
            <w:r>
              <w:rPr>
                <w:rFonts w:cs="Arial"/>
                <w:sz w:val="18"/>
                <w:szCs w:val="18"/>
              </w:rPr>
              <w:t>46</w:t>
            </w:r>
            <w:r w:rsidRPr="002B7200">
              <w:rPr>
                <w:rFonts w:cs="Arial"/>
                <w:sz w:val="18"/>
                <w:szCs w:val="18"/>
              </w:rPr>
              <w:t xml:space="preserve"> - 5</w:t>
            </w:r>
            <w:r>
              <w:rPr>
                <w:rFonts w:cs="Arial"/>
                <w:sz w:val="18"/>
                <w:szCs w:val="18"/>
              </w:rPr>
              <w:t>0</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36</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37</w:t>
            </w:r>
            <w:r w:rsidRPr="002B7200">
              <w:rPr>
                <w:rFonts w:cs="Arial"/>
                <w:sz w:val="18"/>
                <w:szCs w:val="18"/>
              </w:rPr>
              <w:t xml:space="preserve"> - </w:t>
            </w:r>
            <w:r>
              <w:rPr>
                <w:rFonts w:cs="Arial"/>
                <w:sz w:val="18"/>
                <w:szCs w:val="18"/>
              </w:rPr>
              <w:t>45</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51</w:t>
            </w:r>
            <w:r w:rsidRPr="002B7200">
              <w:rPr>
                <w:rFonts w:cs="Arial"/>
                <w:sz w:val="18"/>
                <w:szCs w:val="18"/>
              </w:rPr>
              <w:t xml:space="preserve"> - </w:t>
            </w:r>
            <w:r>
              <w:rPr>
                <w:rFonts w:cs="Arial"/>
                <w:sz w:val="18"/>
                <w:szCs w:val="18"/>
              </w:rPr>
              <w:t>55</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56</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16</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sidRPr="002B7200">
              <w:rPr>
                <w:rFonts w:cs="Arial"/>
                <w:sz w:val="18"/>
                <w:szCs w:val="18"/>
              </w:rPr>
              <w:t>13</w:t>
            </w:r>
          </w:p>
        </w:tc>
        <w:tc>
          <w:tcPr>
            <w:tcW w:w="1998" w:type="dxa"/>
            <w:shd w:val="clear" w:color="auto" w:fill="FFFFFF" w:themeFill="background1"/>
            <w:vAlign w:val="center"/>
          </w:tcPr>
          <w:p w:rsidR="00ED460E" w:rsidRPr="002B7200" w:rsidDel="008E78FD" w:rsidRDefault="00ED460E" w:rsidP="00ED460E">
            <w:pPr>
              <w:tabs>
                <w:tab w:val="right" w:pos="1420"/>
                <w:tab w:val="center" w:pos="4819"/>
              </w:tabs>
              <w:jc w:val="center"/>
              <w:rPr>
                <w:rFonts w:cs="Arial"/>
                <w:sz w:val="18"/>
                <w:szCs w:val="18"/>
              </w:rPr>
            </w:pPr>
            <w:r>
              <w:rPr>
                <w:rFonts w:cs="Arial"/>
                <w:sz w:val="18"/>
                <w:szCs w:val="18"/>
              </w:rPr>
              <w:t>52</w:t>
            </w:r>
            <w:r w:rsidRPr="002B7200">
              <w:rPr>
                <w:rFonts w:cs="Arial"/>
                <w:sz w:val="18"/>
                <w:szCs w:val="18"/>
              </w:rPr>
              <w:t xml:space="preserve"> - </w:t>
            </w:r>
            <w:r>
              <w:rPr>
                <w:rFonts w:cs="Arial"/>
                <w:sz w:val="18"/>
                <w:szCs w:val="18"/>
              </w:rPr>
              <w:t>56</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42</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43</w:t>
            </w:r>
            <w:r w:rsidRPr="002B7200">
              <w:rPr>
                <w:rFonts w:cs="Arial"/>
                <w:sz w:val="18"/>
                <w:szCs w:val="18"/>
              </w:rPr>
              <w:t xml:space="preserve"> - </w:t>
            </w:r>
            <w:r>
              <w:rPr>
                <w:rFonts w:cs="Arial"/>
                <w:sz w:val="18"/>
                <w:szCs w:val="18"/>
              </w:rPr>
              <w:t>51</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57</w:t>
            </w:r>
            <w:r w:rsidRPr="002B7200">
              <w:rPr>
                <w:rFonts w:cs="Arial"/>
                <w:sz w:val="18"/>
                <w:szCs w:val="18"/>
              </w:rPr>
              <w:t xml:space="preserve"> - </w:t>
            </w:r>
            <w:r>
              <w:rPr>
                <w:rFonts w:cs="Arial"/>
                <w:sz w:val="18"/>
                <w:szCs w:val="18"/>
              </w:rPr>
              <w:t>61</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62</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17</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sidRPr="002B7200">
              <w:rPr>
                <w:rFonts w:cs="Arial"/>
                <w:sz w:val="18"/>
                <w:szCs w:val="18"/>
              </w:rPr>
              <w:t>14</w:t>
            </w:r>
          </w:p>
        </w:tc>
        <w:tc>
          <w:tcPr>
            <w:tcW w:w="1998" w:type="dxa"/>
            <w:shd w:val="clear" w:color="auto" w:fill="FFFFFF" w:themeFill="background1"/>
            <w:vAlign w:val="center"/>
          </w:tcPr>
          <w:p w:rsidR="00ED460E" w:rsidRPr="002B7200" w:rsidDel="008E78FD" w:rsidRDefault="00ED460E" w:rsidP="00ED460E">
            <w:pPr>
              <w:tabs>
                <w:tab w:val="right" w:pos="1420"/>
                <w:tab w:val="center" w:pos="4819"/>
              </w:tabs>
              <w:jc w:val="center"/>
              <w:rPr>
                <w:rFonts w:cs="Arial"/>
                <w:sz w:val="18"/>
                <w:szCs w:val="18"/>
              </w:rPr>
            </w:pPr>
            <w:r>
              <w:rPr>
                <w:rFonts w:cs="Arial"/>
                <w:sz w:val="18"/>
                <w:szCs w:val="18"/>
              </w:rPr>
              <w:t>60</w:t>
            </w:r>
            <w:r w:rsidRPr="002B7200">
              <w:rPr>
                <w:rFonts w:cs="Arial"/>
                <w:sz w:val="18"/>
                <w:szCs w:val="18"/>
              </w:rPr>
              <w:t xml:space="preserve"> - </w:t>
            </w:r>
            <w:r>
              <w:rPr>
                <w:rFonts w:cs="Arial"/>
                <w:sz w:val="18"/>
                <w:szCs w:val="18"/>
              </w:rPr>
              <w:t>64</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50</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51</w:t>
            </w:r>
            <w:r w:rsidRPr="002B7200">
              <w:rPr>
                <w:rFonts w:cs="Arial"/>
                <w:sz w:val="18"/>
                <w:szCs w:val="18"/>
              </w:rPr>
              <w:t xml:space="preserve"> - </w:t>
            </w:r>
            <w:r>
              <w:rPr>
                <w:rFonts w:cs="Arial"/>
                <w:sz w:val="18"/>
                <w:szCs w:val="18"/>
              </w:rPr>
              <w:t>59</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65</w:t>
            </w:r>
            <w:r w:rsidRPr="002B7200">
              <w:rPr>
                <w:rFonts w:cs="Arial"/>
                <w:sz w:val="18"/>
                <w:szCs w:val="18"/>
              </w:rPr>
              <w:t xml:space="preserve"> - </w:t>
            </w:r>
            <w:r>
              <w:rPr>
                <w:rFonts w:cs="Arial"/>
                <w:sz w:val="18"/>
                <w:szCs w:val="18"/>
              </w:rPr>
              <w:t>69</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70</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sidRPr="002B7200">
              <w:rPr>
                <w:rFonts w:cs="Arial"/>
                <w:b/>
                <w:bCs/>
                <w:sz w:val="18"/>
              </w:rPr>
              <w:t>18</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sidRPr="002B7200">
              <w:rPr>
                <w:rFonts w:cs="Arial"/>
                <w:sz w:val="18"/>
                <w:szCs w:val="18"/>
              </w:rPr>
              <w:t>15</w:t>
            </w:r>
          </w:p>
        </w:tc>
        <w:tc>
          <w:tcPr>
            <w:tcW w:w="1998" w:type="dxa"/>
            <w:shd w:val="clear" w:color="auto" w:fill="FFFFFF" w:themeFill="background1"/>
            <w:vAlign w:val="center"/>
          </w:tcPr>
          <w:p w:rsidR="00ED460E" w:rsidRPr="002B7200" w:rsidDel="00283891" w:rsidRDefault="00ED460E" w:rsidP="00ED460E">
            <w:pPr>
              <w:tabs>
                <w:tab w:val="right" w:pos="1420"/>
                <w:tab w:val="center" w:pos="4819"/>
              </w:tabs>
              <w:jc w:val="center"/>
              <w:rPr>
                <w:rFonts w:cs="Arial"/>
                <w:sz w:val="18"/>
                <w:szCs w:val="18"/>
              </w:rPr>
            </w:pPr>
            <w:r>
              <w:rPr>
                <w:rFonts w:cs="Arial"/>
                <w:sz w:val="18"/>
                <w:szCs w:val="18"/>
              </w:rPr>
              <w:t>71</w:t>
            </w:r>
            <w:r w:rsidRPr="002B7200">
              <w:rPr>
                <w:rFonts w:cs="Arial"/>
                <w:sz w:val="18"/>
                <w:szCs w:val="18"/>
              </w:rPr>
              <w:t xml:space="preserve"> – </w:t>
            </w:r>
            <w:r>
              <w:rPr>
                <w:rFonts w:cs="Arial"/>
                <w:sz w:val="18"/>
                <w:szCs w:val="18"/>
              </w:rPr>
              <w:t>76</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59</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60</w:t>
            </w:r>
            <w:r w:rsidRPr="002B7200">
              <w:rPr>
                <w:rFonts w:cs="Arial"/>
                <w:sz w:val="18"/>
                <w:szCs w:val="18"/>
              </w:rPr>
              <w:t xml:space="preserve"> – </w:t>
            </w:r>
            <w:r>
              <w:rPr>
                <w:rFonts w:cs="Arial"/>
                <w:sz w:val="18"/>
                <w:szCs w:val="18"/>
              </w:rPr>
              <w:t>70</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77</w:t>
            </w:r>
            <w:r w:rsidRPr="002B7200">
              <w:rPr>
                <w:rFonts w:cs="Arial"/>
                <w:sz w:val="18"/>
                <w:szCs w:val="18"/>
              </w:rPr>
              <w:t xml:space="preserve"> – </w:t>
            </w:r>
            <w:r>
              <w:rPr>
                <w:rFonts w:cs="Arial"/>
                <w:sz w:val="18"/>
                <w:szCs w:val="18"/>
              </w:rPr>
              <w:t>82</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83</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Pr>
                <w:rFonts w:cs="Arial"/>
                <w:b/>
                <w:bCs/>
                <w:sz w:val="18"/>
              </w:rPr>
              <w:t>19</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Pr>
                <w:rFonts w:cs="Arial"/>
                <w:sz w:val="18"/>
                <w:szCs w:val="18"/>
              </w:rPr>
              <w:t>16</w:t>
            </w:r>
          </w:p>
        </w:tc>
        <w:tc>
          <w:tcPr>
            <w:tcW w:w="1998" w:type="dxa"/>
            <w:shd w:val="clear" w:color="auto" w:fill="FFFFFF" w:themeFill="background1"/>
            <w:vAlign w:val="center"/>
          </w:tcPr>
          <w:p w:rsidR="00ED460E" w:rsidRDefault="00ED460E" w:rsidP="00ED460E">
            <w:pPr>
              <w:tabs>
                <w:tab w:val="right" w:pos="1420"/>
                <w:tab w:val="center" w:pos="4819"/>
              </w:tabs>
              <w:jc w:val="center"/>
              <w:rPr>
                <w:rFonts w:cs="Arial"/>
                <w:sz w:val="18"/>
                <w:szCs w:val="18"/>
              </w:rPr>
            </w:pPr>
            <w:r>
              <w:rPr>
                <w:rFonts w:cs="Arial"/>
                <w:sz w:val="18"/>
                <w:szCs w:val="18"/>
              </w:rPr>
              <w:t>80</w:t>
            </w:r>
            <w:r w:rsidRPr="002B7200">
              <w:rPr>
                <w:rFonts w:cs="Arial"/>
                <w:sz w:val="18"/>
                <w:szCs w:val="18"/>
              </w:rPr>
              <w:t xml:space="preserve"> – </w:t>
            </w:r>
            <w:r>
              <w:rPr>
                <w:rFonts w:cs="Arial"/>
                <w:sz w:val="18"/>
                <w:szCs w:val="18"/>
              </w:rPr>
              <w:t>85</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68</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69</w:t>
            </w:r>
            <w:r w:rsidRPr="002B7200">
              <w:rPr>
                <w:rFonts w:cs="Arial"/>
                <w:sz w:val="18"/>
                <w:szCs w:val="18"/>
              </w:rPr>
              <w:t xml:space="preserve"> – </w:t>
            </w:r>
            <w:r>
              <w:rPr>
                <w:rFonts w:cs="Arial"/>
                <w:sz w:val="18"/>
                <w:szCs w:val="18"/>
              </w:rPr>
              <w:t>79</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86</w:t>
            </w:r>
            <w:r w:rsidRPr="002B7200">
              <w:rPr>
                <w:rFonts w:cs="Arial"/>
                <w:sz w:val="18"/>
                <w:szCs w:val="18"/>
              </w:rPr>
              <w:t xml:space="preserve"> – </w:t>
            </w:r>
            <w:r>
              <w:rPr>
                <w:rFonts w:cs="Arial"/>
                <w:sz w:val="18"/>
                <w:szCs w:val="18"/>
              </w:rPr>
              <w:t>91</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92</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Pr>
                <w:rFonts w:cs="Arial"/>
                <w:b/>
                <w:bCs/>
                <w:sz w:val="18"/>
              </w:rPr>
              <w:t>20</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Pr>
                <w:rFonts w:cs="Arial"/>
                <w:sz w:val="18"/>
                <w:szCs w:val="18"/>
              </w:rPr>
              <w:t>17</w:t>
            </w:r>
          </w:p>
        </w:tc>
        <w:tc>
          <w:tcPr>
            <w:tcW w:w="1998" w:type="dxa"/>
            <w:shd w:val="clear" w:color="auto" w:fill="FFFFFF" w:themeFill="background1"/>
            <w:vAlign w:val="center"/>
          </w:tcPr>
          <w:p w:rsidR="00ED460E" w:rsidRDefault="00ED460E" w:rsidP="00ED460E">
            <w:pPr>
              <w:tabs>
                <w:tab w:val="right" w:pos="1420"/>
                <w:tab w:val="center" w:pos="4819"/>
              </w:tabs>
              <w:jc w:val="center"/>
              <w:rPr>
                <w:rFonts w:cs="Arial"/>
                <w:sz w:val="18"/>
                <w:szCs w:val="18"/>
              </w:rPr>
            </w:pPr>
            <w:r>
              <w:rPr>
                <w:rFonts w:cs="Arial"/>
                <w:sz w:val="18"/>
                <w:szCs w:val="18"/>
              </w:rPr>
              <w:t>90</w:t>
            </w:r>
            <w:r w:rsidRPr="002B7200">
              <w:rPr>
                <w:rFonts w:cs="Arial"/>
                <w:sz w:val="18"/>
                <w:szCs w:val="18"/>
              </w:rPr>
              <w:t xml:space="preserve"> – </w:t>
            </w:r>
            <w:r>
              <w:rPr>
                <w:rFonts w:cs="Arial"/>
                <w:sz w:val="18"/>
                <w:szCs w:val="18"/>
              </w:rPr>
              <w:t>95</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78</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79</w:t>
            </w:r>
            <w:r w:rsidRPr="002B7200">
              <w:rPr>
                <w:rFonts w:cs="Arial"/>
                <w:sz w:val="18"/>
                <w:szCs w:val="18"/>
              </w:rPr>
              <w:t xml:space="preserve"> – </w:t>
            </w:r>
            <w:r>
              <w:rPr>
                <w:rFonts w:cs="Arial"/>
                <w:sz w:val="18"/>
                <w:szCs w:val="18"/>
              </w:rPr>
              <w:t>89</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96</w:t>
            </w:r>
            <w:r w:rsidRPr="002B7200">
              <w:rPr>
                <w:rFonts w:cs="Arial"/>
                <w:sz w:val="18"/>
                <w:szCs w:val="18"/>
              </w:rPr>
              <w:t xml:space="preserve"> – </w:t>
            </w:r>
            <w:r>
              <w:rPr>
                <w:rFonts w:cs="Arial"/>
                <w:sz w:val="18"/>
                <w:szCs w:val="18"/>
              </w:rPr>
              <w:t>101</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102</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Pr>
                <w:rFonts w:cs="Arial"/>
                <w:b/>
                <w:bCs/>
                <w:sz w:val="18"/>
              </w:rPr>
              <w:t>21</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Pr>
                <w:rFonts w:cs="Arial"/>
                <w:sz w:val="18"/>
                <w:szCs w:val="18"/>
              </w:rPr>
              <w:t>18</w:t>
            </w:r>
          </w:p>
        </w:tc>
        <w:tc>
          <w:tcPr>
            <w:tcW w:w="1998" w:type="dxa"/>
            <w:shd w:val="clear" w:color="auto" w:fill="FFFFFF" w:themeFill="background1"/>
            <w:vAlign w:val="center"/>
          </w:tcPr>
          <w:p w:rsidR="00ED460E" w:rsidRDefault="00ED460E" w:rsidP="00ED460E">
            <w:pPr>
              <w:tabs>
                <w:tab w:val="right" w:pos="1420"/>
                <w:tab w:val="center" w:pos="4819"/>
              </w:tabs>
              <w:jc w:val="center"/>
              <w:rPr>
                <w:rFonts w:cs="Arial"/>
                <w:sz w:val="18"/>
                <w:szCs w:val="18"/>
              </w:rPr>
            </w:pPr>
            <w:r>
              <w:rPr>
                <w:rFonts w:cs="Arial"/>
                <w:sz w:val="18"/>
                <w:szCs w:val="18"/>
              </w:rPr>
              <w:t>101</w:t>
            </w:r>
            <w:r w:rsidRPr="002B7200">
              <w:rPr>
                <w:rFonts w:cs="Arial"/>
                <w:sz w:val="18"/>
                <w:szCs w:val="18"/>
              </w:rPr>
              <w:t xml:space="preserve"> – </w:t>
            </w:r>
            <w:r>
              <w:rPr>
                <w:rFonts w:cs="Arial"/>
                <w:sz w:val="18"/>
                <w:szCs w:val="18"/>
              </w:rPr>
              <w:t>107</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87</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88</w:t>
            </w:r>
            <w:r w:rsidRPr="002B7200">
              <w:rPr>
                <w:rFonts w:cs="Arial"/>
                <w:sz w:val="18"/>
                <w:szCs w:val="18"/>
              </w:rPr>
              <w:t xml:space="preserve"> – </w:t>
            </w:r>
            <w:r>
              <w:rPr>
                <w:rFonts w:cs="Arial"/>
                <w:sz w:val="18"/>
                <w:szCs w:val="18"/>
              </w:rPr>
              <w:t>100</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108</w:t>
            </w:r>
            <w:r w:rsidRPr="002B7200">
              <w:rPr>
                <w:rFonts w:cs="Arial"/>
                <w:sz w:val="18"/>
                <w:szCs w:val="18"/>
              </w:rPr>
              <w:t xml:space="preserve"> – </w:t>
            </w:r>
            <w:r>
              <w:rPr>
                <w:rFonts w:cs="Arial"/>
                <w:sz w:val="18"/>
                <w:szCs w:val="18"/>
              </w:rPr>
              <w:t>114</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115</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r w:rsidR="00ED460E" w:rsidRPr="002B7200" w:rsidTr="00ED460E">
        <w:trPr>
          <w:cantSplit/>
          <w:trHeight w:val="454"/>
        </w:trPr>
        <w:tc>
          <w:tcPr>
            <w:tcW w:w="1243" w:type="dxa"/>
            <w:shd w:val="clear" w:color="auto" w:fill="FFFFFF" w:themeFill="background1"/>
            <w:vAlign w:val="center"/>
          </w:tcPr>
          <w:p w:rsidR="00ED460E" w:rsidRPr="002B7200" w:rsidRDefault="00ED460E" w:rsidP="00ED460E">
            <w:pPr>
              <w:tabs>
                <w:tab w:val="left" w:pos="284"/>
                <w:tab w:val="center" w:pos="4819"/>
              </w:tabs>
              <w:jc w:val="center"/>
              <w:rPr>
                <w:rFonts w:cs="Arial"/>
                <w:b/>
                <w:bCs/>
                <w:sz w:val="18"/>
              </w:rPr>
            </w:pPr>
            <w:r>
              <w:rPr>
                <w:rFonts w:cs="Arial"/>
                <w:b/>
                <w:bCs/>
                <w:sz w:val="18"/>
              </w:rPr>
              <w:t>22</w:t>
            </w:r>
          </w:p>
        </w:tc>
        <w:tc>
          <w:tcPr>
            <w:tcW w:w="1134" w:type="dxa"/>
            <w:shd w:val="clear" w:color="auto" w:fill="FFFFFF" w:themeFill="background1"/>
            <w:vAlign w:val="center"/>
          </w:tcPr>
          <w:p w:rsidR="00ED460E" w:rsidRPr="002B7200" w:rsidRDefault="00ED460E" w:rsidP="00ED460E">
            <w:pPr>
              <w:tabs>
                <w:tab w:val="right" w:pos="1420"/>
                <w:tab w:val="center" w:pos="4819"/>
              </w:tabs>
              <w:jc w:val="center"/>
              <w:rPr>
                <w:rFonts w:cs="Arial"/>
                <w:sz w:val="18"/>
                <w:szCs w:val="18"/>
              </w:rPr>
            </w:pPr>
            <w:r>
              <w:rPr>
                <w:rFonts w:cs="Arial"/>
                <w:sz w:val="18"/>
                <w:szCs w:val="18"/>
              </w:rPr>
              <w:t>19</w:t>
            </w:r>
          </w:p>
        </w:tc>
        <w:tc>
          <w:tcPr>
            <w:tcW w:w="1998" w:type="dxa"/>
            <w:shd w:val="clear" w:color="auto" w:fill="FFFFFF" w:themeFill="background1"/>
            <w:vAlign w:val="center"/>
          </w:tcPr>
          <w:p w:rsidR="00ED460E" w:rsidRDefault="00ED460E" w:rsidP="00ED460E">
            <w:pPr>
              <w:tabs>
                <w:tab w:val="right" w:pos="1420"/>
                <w:tab w:val="center" w:pos="4819"/>
              </w:tabs>
              <w:jc w:val="center"/>
              <w:rPr>
                <w:rFonts w:cs="Arial"/>
                <w:sz w:val="18"/>
                <w:szCs w:val="18"/>
              </w:rPr>
            </w:pPr>
            <w:r>
              <w:rPr>
                <w:rFonts w:cs="Arial"/>
                <w:sz w:val="18"/>
                <w:szCs w:val="18"/>
              </w:rPr>
              <w:t>114</w:t>
            </w:r>
            <w:r w:rsidRPr="002B7200">
              <w:rPr>
                <w:rFonts w:cs="Arial"/>
                <w:sz w:val="18"/>
                <w:szCs w:val="18"/>
              </w:rPr>
              <w:t xml:space="preserve"> – </w:t>
            </w:r>
            <w:r>
              <w:rPr>
                <w:rFonts w:cs="Arial"/>
                <w:sz w:val="18"/>
                <w:szCs w:val="18"/>
              </w:rPr>
              <w:t>120</w:t>
            </w:r>
            <w:r w:rsidRPr="002B7200">
              <w:rPr>
                <w:rFonts w:cs="Arial"/>
                <w:sz w:val="18"/>
                <w:szCs w:val="18"/>
              </w:rPr>
              <w:t xml:space="preserve"> Wohnungen</w:t>
            </w:r>
          </w:p>
        </w:tc>
        <w:tc>
          <w:tcPr>
            <w:tcW w:w="2538" w:type="dxa"/>
            <w:shd w:val="clear" w:color="auto" w:fill="FFFFFF" w:themeFill="background1"/>
            <w:vAlign w:val="center"/>
          </w:tcPr>
          <w:p w:rsidR="00ED460E" w:rsidRPr="002B7200" w:rsidRDefault="00ED460E" w:rsidP="00ED460E">
            <w:pPr>
              <w:tabs>
                <w:tab w:val="center" w:pos="4819"/>
              </w:tabs>
              <w:ind w:left="2"/>
              <w:rPr>
                <w:rFonts w:cs="Arial"/>
                <w:sz w:val="18"/>
                <w:szCs w:val="18"/>
              </w:rPr>
            </w:pPr>
            <w:r w:rsidRPr="002B7200">
              <w:rPr>
                <w:rFonts w:cs="Arial"/>
                <w:sz w:val="18"/>
                <w:szCs w:val="18"/>
              </w:rPr>
              <w:t xml:space="preserve">bis </w:t>
            </w:r>
            <w:r>
              <w:rPr>
                <w:rFonts w:cs="Arial"/>
                <w:sz w:val="18"/>
                <w:szCs w:val="18"/>
              </w:rPr>
              <w:t>100</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101</w:t>
            </w:r>
            <w:r w:rsidRPr="002B7200">
              <w:rPr>
                <w:rFonts w:cs="Arial"/>
                <w:sz w:val="18"/>
                <w:szCs w:val="18"/>
              </w:rPr>
              <w:t xml:space="preserve"> – </w:t>
            </w:r>
            <w:r>
              <w:rPr>
                <w:rFonts w:cs="Arial"/>
                <w:sz w:val="18"/>
                <w:szCs w:val="18"/>
              </w:rPr>
              <w:t>113</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121</w:t>
            </w:r>
            <w:r w:rsidRPr="002B7200">
              <w:rPr>
                <w:rFonts w:cs="Arial"/>
                <w:sz w:val="18"/>
                <w:szCs w:val="18"/>
              </w:rPr>
              <w:t xml:space="preserve"> – </w:t>
            </w:r>
            <w:r>
              <w:rPr>
                <w:rFonts w:cs="Arial"/>
                <w:sz w:val="18"/>
                <w:szCs w:val="18"/>
              </w:rPr>
              <w:t>127</w:t>
            </w:r>
            <w:r w:rsidRPr="002B7200">
              <w:rPr>
                <w:rFonts w:cs="Arial"/>
                <w:sz w:val="18"/>
                <w:szCs w:val="18"/>
              </w:rPr>
              <w:t xml:space="preserve"> Wohnungen</w:t>
            </w:r>
          </w:p>
          <w:p w:rsidR="00ED460E" w:rsidRPr="002B7200" w:rsidRDefault="00ED460E" w:rsidP="00ED460E">
            <w:pPr>
              <w:tabs>
                <w:tab w:val="center" w:pos="4819"/>
              </w:tabs>
              <w:ind w:left="2"/>
              <w:rPr>
                <w:rFonts w:cs="Arial"/>
                <w:sz w:val="18"/>
                <w:szCs w:val="18"/>
              </w:rPr>
            </w:pPr>
            <w:r>
              <w:rPr>
                <w:rFonts w:cs="Arial"/>
                <w:sz w:val="18"/>
                <w:szCs w:val="18"/>
              </w:rPr>
              <w:t>128</w:t>
            </w:r>
            <w:r w:rsidRPr="002B7200">
              <w:rPr>
                <w:rFonts w:cs="Arial"/>
                <w:sz w:val="18"/>
                <w:szCs w:val="18"/>
              </w:rPr>
              <w:t xml:space="preserve"> und mehr Wohnungen</w:t>
            </w:r>
          </w:p>
        </w:tc>
        <w:tc>
          <w:tcPr>
            <w:tcW w:w="1525"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-2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+1 TZ</w:t>
            </w:r>
          </w:p>
          <w:p w:rsidR="00ED460E" w:rsidRPr="002B7200" w:rsidRDefault="00ED460E" w:rsidP="00ED460E">
            <w:pPr>
              <w:tabs>
                <w:tab w:val="center" w:pos="4819"/>
              </w:tabs>
              <w:jc w:val="center"/>
              <w:rPr>
                <w:rFonts w:cs="Arial"/>
                <w:sz w:val="18"/>
                <w:szCs w:val="18"/>
              </w:rPr>
            </w:pPr>
            <w:r w:rsidRPr="002B7200">
              <w:rPr>
                <w:rFonts w:cs="Arial"/>
                <w:sz w:val="18"/>
                <w:szCs w:val="18"/>
              </w:rPr>
              <w:t>+2 TZ</w:t>
            </w:r>
          </w:p>
        </w:tc>
      </w:tr>
    </w:tbl>
    <w:p w:rsidR="00ED460E" w:rsidRPr="002B7200" w:rsidRDefault="00ED460E" w:rsidP="00ED460E">
      <w:pPr>
        <w:pStyle w:val="Kopfzeile"/>
        <w:tabs>
          <w:tab w:val="left" w:pos="284"/>
        </w:tabs>
        <w:spacing w:line="280" w:lineRule="atLeast"/>
        <w:ind w:left="284"/>
        <w:jc w:val="both"/>
        <w:rPr>
          <w:rFonts w:cs="Arial"/>
        </w:rPr>
      </w:pPr>
    </w:p>
    <w:p w:rsidR="00ED460E" w:rsidRPr="00DD4B89" w:rsidRDefault="00ED460E" w:rsidP="00243889">
      <w:pPr>
        <w:pStyle w:val="Kopfzeile"/>
        <w:tabs>
          <w:tab w:val="left" w:pos="284"/>
        </w:tabs>
        <w:spacing w:line="280" w:lineRule="atLeast"/>
        <w:ind w:left="284"/>
        <w:rPr>
          <w:rFonts w:cs="Arial"/>
          <w:sz w:val="20"/>
        </w:rPr>
      </w:pPr>
      <w:r w:rsidRPr="00DD4B89">
        <w:rPr>
          <w:rFonts w:cs="Arial"/>
          <w:sz w:val="20"/>
        </w:rPr>
        <w:t xml:space="preserve">Bei Tarifzonen-Grundeinteilung grösser als TZ 22 (mehr als 19 Geschosse) wird die obige Korrekturtabelle gleichförmig weitergeführt. Der Mechanismus ist im Anhang 1 beschrieben. </w:t>
      </w:r>
    </w:p>
    <w:p w:rsidR="00ED460E" w:rsidRPr="00DD4B89" w:rsidRDefault="00ED460E" w:rsidP="00243889">
      <w:pPr>
        <w:pStyle w:val="Kopfzeile"/>
        <w:tabs>
          <w:tab w:val="left" w:pos="284"/>
        </w:tabs>
        <w:spacing w:line="280" w:lineRule="atLeast"/>
        <w:ind w:left="284"/>
        <w:rPr>
          <w:rFonts w:cs="Arial"/>
          <w:sz w:val="20"/>
        </w:rPr>
      </w:pPr>
    </w:p>
    <w:p w:rsidR="00ED460E" w:rsidRPr="00DD4B89" w:rsidRDefault="00ED460E" w:rsidP="00243889">
      <w:pPr>
        <w:pStyle w:val="Kopfzeile"/>
        <w:tabs>
          <w:tab w:val="left" w:pos="284"/>
        </w:tabs>
        <w:spacing w:line="280" w:lineRule="atLeast"/>
        <w:ind w:left="284"/>
        <w:rPr>
          <w:rFonts w:cs="Arial"/>
          <w:sz w:val="20"/>
        </w:rPr>
      </w:pPr>
      <w:r w:rsidRPr="00DD4B89">
        <w:rPr>
          <w:rFonts w:cs="Arial"/>
          <w:sz w:val="20"/>
        </w:rPr>
        <w:t>Auch leerstehende Wohnungen und Kleinwohnungen (z.B. Studios) beziehen die Leistungsbereitschaft und werden mitberücksichtigt.</w:t>
      </w:r>
    </w:p>
    <w:p w:rsidR="00E27A70" w:rsidRPr="00243889" w:rsidRDefault="00E27A70" w:rsidP="00243889">
      <w:pPr>
        <w:pStyle w:val="Kopfzeile"/>
        <w:tabs>
          <w:tab w:val="left" w:pos="284"/>
        </w:tabs>
        <w:spacing w:line="280" w:lineRule="atLeast"/>
        <w:ind w:left="284"/>
        <w:rPr>
          <w:rFonts w:cs="Arial"/>
          <w:sz w:val="20"/>
        </w:rPr>
      </w:pPr>
    </w:p>
    <w:p w:rsidR="00E27A70" w:rsidRDefault="00E27A70">
      <w:pPr>
        <w:spacing w:line="240" w:lineRule="auto"/>
        <w:rPr>
          <w:rFonts w:cs="Arial"/>
          <w:noProof/>
          <w:sz w:val="16"/>
        </w:rPr>
      </w:pPr>
      <w:r>
        <w:rPr>
          <w:rFonts w:cs="Arial"/>
        </w:rPr>
        <w:br w:type="page"/>
      </w:r>
    </w:p>
    <w:p w:rsidR="00ED460E" w:rsidRPr="00243889" w:rsidRDefault="00ED460E" w:rsidP="00243889">
      <w:pPr>
        <w:pStyle w:val="Kopfzeile"/>
        <w:tabs>
          <w:tab w:val="left" w:pos="284"/>
        </w:tabs>
        <w:spacing w:line="280" w:lineRule="atLeast"/>
        <w:ind w:left="284" w:hanging="284"/>
        <w:rPr>
          <w:rFonts w:cs="Arial"/>
          <w:sz w:val="20"/>
        </w:rPr>
      </w:pPr>
      <w:r w:rsidRPr="00243889">
        <w:rPr>
          <w:rFonts w:cs="Arial"/>
          <w:sz w:val="20"/>
        </w:rPr>
        <w:lastRenderedPageBreak/>
        <w:t>4</w:t>
      </w:r>
      <w:r w:rsidRPr="00243889">
        <w:rPr>
          <w:rFonts w:cs="Arial"/>
          <w:sz w:val="20"/>
        </w:rPr>
        <w:tab/>
      </w:r>
      <w:r w:rsidRPr="00243889">
        <w:rPr>
          <w:rFonts w:cs="Arial"/>
          <w:b/>
          <w:i/>
          <w:sz w:val="20"/>
        </w:rPr>
        <w:t>Verschmutzungsgrad:</w:t>
      </w:r>
      <w:r w:rsidRPr="00243889">
        <w:rPr>
          <w:rFonts w:cs="Arial"/>
          <w:sz w:val="20"/>
        </w:rPr>
        <w:t xml:space="preserve"> Der Verschmutzungsgrad des Abwassers führt zu einem Zuschlag von + 1 TZ, falls der biologische Verschmutzungsgrad über dem des häuslichen Abwassers liegt. Das betrifft beispielsweise Käsereien, Metzgereien usw. Der Gemeinderat kann jederzeit Messungen vornehmen. </w:t>
      </w:r>
      <w:r w:rsidRPr="00243889">
        <w:rPr>
          <w:rFonts w:cs="Arial"/>
          <w:sz w:val="20"/>
        </w:rPr>
        <w:br/>
        <w:t>Bei Betrieben, die im Kostenverteiler des</w:t>
      </w:r>
      <w:r w:rsidRPr="00243889">
        <w:rPr>
          <w:sz w:val="20"/>
        </w:rPr>
        <w:t xml:space="preserve"> </w:t>
      </w:r>
      <w:r w:rsidRPr="00243889">
        <w:rPr>
          <w:rFonts w:cs="Arial"/>
          <w:sz w:val="20"/>
        </w:rPr>
        <w:t>Gewässerschutzverbands der Region Zugersee-Küssnachtersee-Ägerisee (GVRZ) aufgeführt sind, werden zusätzlich die verursachten Kosten beim GVRZ gemäss dem im Art. 18 beschriebenen Vorgehen verrechnet.</w:t>
      </w:r>
      <w:r w:rsidRPr="00243889">
        <w:rPr>
          <w:rFonts w:cs="Arial"/>
          <w:sz w:val="20"/>
        </w:rPr>
        <w:br/>
      </w:r>
    </w:p>
    <w:p w:rsidR="00ED460E" w:rsidRPr="00243889" w:rsidRDefault="00ED460E" w:rsidP="00243889">
      <w:pPr>
        <w:pStyle w:val="Kopfzeile"/>
        <w:tabs>
          <w:tab w:val="left" w:pos="284"/>
        </w:tabs>
        <w:spacing w:line="280" w:lineRule="atLeast"/>
        <w:ind w:left="284" w:hanging="284"/>
        <w:rPr>
          <w:rFonts w:cs="Arial"/>
          <w:sz w:val="20"/>
        </w:rPr>
      </w:pPr>
      <w:r w:rsidRPr="00243889">
        <w:rPr>
          <w:rFonts w:cs="Arial"/>
          <w:sz w:val="20"/>
        </w:rPr>
        <w:t>5</w:t>
      </w:r>
      <w:r w:rsidRPr="00243889">
        <w:rPr>
          <w:rFonts w:cs="Arial"/>
          <w:sz w:val="20"/>
        </w:rPr>
        <w:tab/>
      </w:r>
      <w:r w:rsidRPr="00243889">
        <w:rPr>
          <w:rFonts w:cs="Arial"/>
          <w:b/>
          <w:i/>
          <w:sz w:val="20"/>
        </w:rPr>
        <w:t>Nutzung:</w:t>
      </w:r>
      <w:r w:rsidRPr="00243889">
        <w:rPr>
          <w:rFonts w:cs="Arial"/>
          <w:sz w:val="20"/>
        </w:rPr>
        <w:t xml:space="preserve"> Die Tarifzonen-Grundeinteilung wird bei nachfolgenden, nicht abschliessend aufgelisteten, besonderen Verhältnissen verursachergerecht über einen Nutzungszuschlag oder -abzug korrigiert:</w:t>
      </w:r>
    </w:p>
    <w:p w:rsidR="00ED460E" w:rsidRPr="00243889" w:rsidRDefault="00ED460E" w:rsidP="00243889">
      <w:pPr>
        <w:pStyle w:val="Kopfzeile"/>
        <w:tabs>
          <w:tab w:val="left" w:pos="284"/>
        </w:tabs>
        <w:spacing w:line="280" w:lineRule="atLeast"/>
        <w:ind w:left="284" w:hanging="284"/>
        <w:rPr>
          <w:rFonts w:cs="Arial"/>
          <w:sz w:val="20"/>
        </w:rPr>
      </w:pPr>
    </w:p>
    <w:tbl>
      <w:tblPr>
        <w:tblW w:w="7966"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70" w:type="dxa"/>
          <w:bottom w:w="57" w:type="dxa"/>
          <w:right w:w="70" w:type="dxa"/>
        </w:tblCellMar>
        <w:tblLook w:val="0000" w:firstRow="0" w:lastRow="0" w:firstColumn="0" w:lastColumn="0" w:noHBand="0" w:noVBand="0"/>
      </w:tblPr>
      <w:tblGrid>
        <w:gridCol w:w="2580"/>
        <w:gridCol w:w="3969"/>
        <w:gridCol w:w="1417"/>
      </w:tblGrid>
      <w:tr w:rsidR="00ED460E" w:rsidRPr="002B7200" w:rsidTr="00ED460E">
        <w:trPr>
          <w:cantSplit/>
          <w:tblHeader/>
        </w:trPr>
        <w:tc>
          <w:tcPr>
            <w:tcW w:w="2580" w:type="dxa"/>
            <w:shd w:val="clear" w:color="auto" w:fill="D9D9D9" w:themeFill="background1" w:themeFillShade="D9"/>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Besonderheit</w:t>
            </w:r>
          </w:p>
        </w:tc>
        <w:tc>
          <w:tcPr>
            <w:tcW w:w="3969" w:type="dxa"/>
            <w:shd w:val="clear" w:color="auto" w:fill="D9D9D9" w:themeFill="background1" w:themeFillShade="D9"/>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Beschreibung</w:t>
            </w:r>
          </w:p>
        </w:tc>
        <w:tc>
          <w:tcPr>
            <w:tcW w:w="1417" w:type="dxa"/>
            <w:shd w:val="clear" w:color="auto" w:fill="D9D9D9" w:themeFill="background1" w:themeFillShade="D9"/>
            <w:vAlign w:val="center"/>
          </w:tcPr>
          <w:p w:rsidR="00ED460E" w:rsidRPr="002B7200" w:rsidRDefault="00ED460E" w:rsidP="00ED460E">
            <w:pPr>
              <w:tabs>
                <w:tab w:val="left" w:pos="284"/>
                <w:tab w:val="center" w:pos="4819"/>
              </w:tabs>
              <w:jc w:val="center"/>
              <w:rPr>
                <w:rFonts w:cs="Arial"/>
                <w:b/>
                <w:bCs/>
                <w:sz w:val="18"/>
                <w:szCs w:val="18"/>
              </w:rPr>
            </w:pPr>
            <w:r w:rsidRPr="002B7200">
              <w:rPr>
                <w:rFonts w:cs="Arial"/>
                <w:b/>
                <w:bCs/>
                <w:sz w:val="18"/>
                <w:szCs w:val="18"/>
              </w:rPr>
              <w:t>TZ-Korrektur</w:t>
            </w:r>
          </w:p>
        </w:tc>
      </w:tr>
      <w:tr w:rsidR="00ED460E" w:rsidRPr="002B7200" w:rsidTr="00ED460E">
        <w:trPr>
          <w:cantSplit/>
          <w:trHeight w:val="284"/>
        </w:trPr>
        <w:tc>
          <w:tcPr>
            <w:tcW w:w="2580" w:type="dxa"/>
            <w:vMerge w:val="restart"/>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 xml:space="preserve">Unverhältnismässiges </w:t>
            </w:r>
          </w:p>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Flächen-Leistungsverhältnis bei Grundstücken mit überwiegender Wohnbebauung</w:t>
            </w:r>
          </w:p>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 xml:space="preserve">Gebührenpflichtige Fläche pro Wohneinheit kleiner 25 m² </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+ 4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 xml:space="preserve">Gebührenpflichtige Fläche pro Wohneinheit kleiner 50 m² </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+ 3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Gebührenpflichtige Fläche pro Wohneinheit kleiner 75 m</w:t>
            </w:r>
            <w:r w:rsidRPr="001F0E67">
              <w:rPr>
                <w:rFonts w:cs="Arial"/>
                <w:sz w:val="18"/>
                <w:szCs w:val="18"/>
                <w:vertAlign w:val="superscript"/>
              </w:rPr>
              <w:t>2</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+ 2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Gebührenpflichtige Fläche pro Wohneinheit kleiner 100 m</w:t>
            </w:r>
            <w:r w:rsidRPr="001F0E67">
              <w:rPr>
                <w:rFonts w:cs="Arial"/>
                <w:sz w:val="18"/>
                <w:szCs w:val="18"/>
                <w:vertAlign w:val="superscript"/>
              </w:rPr>
              <w:t>2</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+1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 xml:space="preserve">Gebührenpflichtige Fläche grösser oder gleich 2‘000 m² und gebührenpflichtige Fläche pro Wohneinheit grösser oder gleich 150 m² </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- 1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Gebührenpflichtige Fläche grösser oder gleich 2‘000 m² und gebührenpflichtige Fläche pro Wohneinheit grösser oder gleich 200 m²</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- 2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Gebührenpflichtige Fläche grösser oder gleich 2‘000 m² und gebührenpflichtige Fläche pro Wohneinheit grösser oder gleich 250 m²</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- 3 TZ</w:t>
            </w:r>
          </w:p>
        </w:tc>
      </w:tr>
      <w:tr w:rsidR="00ED460E" w:rsidRPr="002B7200" w:rsidTr="00ED460E">
        <w:trPr>
          <w:cantSplit/>
          <w:trHeight w:val="284"/>
        </w:trPr>
        <w:tc>
          <w:tcPr>
            <w:tcW w:w="2580" w:type="dxa"/>
            <w:vMerge/>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p>
        </w:tc>
        <w:tc>
          <w:tcPr>
            <w:tcW w:w="3969" w:type="dxa"/>
            <w:shd w:val="clear" w:color="auto" w:fill="FFFFFF" w:themeFill="background1"/>
            <w:vAlign w:val="center"/>
          </w:tcPr>
          <w:p w:rsidR="00ED460E" w:rsidRPr="001F0E67" w:rsidRDefault="00ED460E" w:rsidP="00ED460E">
            <w:pPr>
              <w:tabs>
                <w:tab w:val="right" w:pos="1420"/>
                <w:tab w:val="center" w:pos="4819"/>
              </w:tabs>
              <w:rPr>
                <w:rFonts w:cs="Arial"/>
                <w:sz w:val="18"/>
                <w:szCs w:val="18"/>
              </w:rPr>
            </w:pPr>
            <w:r w:rsidRPr="001F0E67">
              <w:rPr>
                <w:rFonts w:cs="Arial"/>
                <w:sz w:val="18"/>
                <w:szCs w:val="18"/>
              </w:rPr>
              <w:t>Grundstücksfläche kleiner 300 m</w:t>
            </w:r>
            <w:r w:rsidRPr="001F0E67">
              <w:rPr>
                <w:rFonts w:cs="Arial"/>
                <w:sz w:val="18"/>
                <w:szCs w:val="18"/>
                <w:vertAlign w:val="superscript"/>
              </w:rPr>
              <w:t>2</w:t>
            </w:r>
            <w:r w:rsidRPr="001F0E67">
              <w:rPr>
                <w:rFonts w:cs="Arial"/>
                <w:sz w:val="18"/>
                <w:szCs w:val="18"/>
              </w:rPr>
              <w:t xml:space="preserve"> bei Grundstücken mit Grundeinteilung ab </w:t>
            </w:r>
            <w:r>
              <w:rPr>
                <w:rFonts w:cs="Arial"/>
                <w:sz w:val="18"/>
                <w:szCs w:val="18"/>
              </w:rPr>
              <w:t>TZ</w:t>
            </w:r>
            <w:r w:rsidRPr="001F0E67">
              <w:rPr>
                <w:rFonts w:cs="Arial"/>
                <w:sz w:val="18"/>
                <w:szCs w:val="18"/>
              </w:rPr>
              <w:t xml:space="preserve"> 3</w:t>
            </w:r>
          </w:p>
        </w:tc>
        <w:tc>
          <w:tcPr>
            <w:tcW w:w="1417" w:type="dxa"/>
            <w:shd w:val="clear" w:color="auto" w:fill="FFFFFF" w:themeFill="background1"/>
            <w:vAlign w:val="center"/>
          </w:tcPr>
          <w:p w:rsidR="00ED460E" w:rsidRPr="001F0E67" w:rsidRDefault="00ED460E" w:rsidP="00ED460E">
            <w:pPr>
              <w:tabs>
                <w:tab w:val="center" w:pos="4819"/>
              </w:tabs>
              <w:jc w:val="center"/>
              <w:rPr>
                <w:rFonts w:cs="Arial"/>
                <w:sz w:val="18"/>
                <w:szCs w:val="18"/>
              </w:rPr>
            </w:pPr>
            <w:r w:rsidRPr="001F0E67">
              <w:rPr>
                <w:rFonts w:cs="Arial"/>
                <w:sz w:val="18"/>
                <w:szCs w:val="18"/>
              </w:rPr>
              <w:t>+ 1 TZ</w:t>
            </w:r>
          </w:p>
        </w:tc>
      </w:tr>
      <w:tr w:rsidR="00ED460E" w:rsidRPr="002B7200" w:rsidTr="00ED460E">
        <w:trPr>
          <w:cantSplit/>
          <w:trHeight w:val="284"/>
        </w:trPr>
        <w:tc>
          <w:tcPr>
            <w:tcW w:w="2580" w:type="dxa"/>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1-geschossiges Gewerbe</w:t>
            </w:r>
          </w:p>
        </w:tc>
        <w:tc>
          <w:tcPr>
            <w:tcW w:w="3969" w:type="dxa"/>
            <w:shd w:val="clear" w:color="auto" w:fill="FFFFFF" w:themeFill="background1"/>
            <w:vAlign w:val="center"/>
          </w:tcPr>
          <w:p w:rsidR="00ED460E" w:rsidRPr="002B7200" w:rsidRDefault="00ED460E" w:rsidP="00ED460E">
            <w:pPr>
              <w:tabs>
                <w:tab w:val="right" w:pos="1420"/>
                <w:tab w:val="center" w:pos="4819"/>
              </w:tabs>
              <w:rPr>
                <w:rFonts w:cs="Arial"/>
                <w:sz w:val="18"/>
                <w:szCs w:val="18"/>
              </w:rPr>
            </w:pPr>
            <w:r w:rsidRPr="002B7200">
              <w:rPr>
                <w:rFonts w:cs="Arial"/>
                <w:sz w:val="18"/>
                <w:szCs w:val="18"/>
              </w:rPr>
              <w:t xml:space="preserve">Gewerbegrundstücke (exkl. Landwirtschaft) mit maximal eingeschossigen Gebäuden bzw. die Gebäudegrundfläche des zweiten Geschosses ist kleiner als 50 % des darunterliegenden Geschosses </w:t>
            </w:r>
          </w:p>
        </w:tc>
        <w:tc>
          <w:tcPr>
            <w:tcW w:w="1417"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- 1 TZ</w:t>
            </w:r>
          </w:p>
        </w:tc>
      </w:tr>
      <w:tr w:rsidR="00ED460E" w:rsidRPr="002B7200" w:rsidTr="00ED460E">
        <w:trPr>
          <w:cantSplit/>
          <w:trHeight w:val="284"/>
        </w:trPr>
        <w:tc>
          <w:tcPr>
            <w:tcW w:w="2580" w:type="dxa"/>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lastRenderedPageBreak/>
              <w:t>Gastronomiebetriebe mit Grossküchen</w:t>
            </w:r>
          </w:p>
        </w:tc>
        <w:tc>
          <w:tcPr>
            <w:tcW w:w="3969" w:type="dxa"/>
            <w:shd w:val="clear" w:color="auto" w:fill="FFFFFF" w:themeFill="background1"/>
            <w:vAlign w:val="center"/>
          </w:tcPr>
          <w:p w:rsidR="00ED460E" w:rsidRPr="002B7200" w:rsidRDefault="00ED460E" w:rsidP="00ED460E">
            <w:pPr>
              <w:tabs>
                <w:tab w:val="right" w:pos="1420"/>
                <w:tab w:val="center" w:pos="4819"/>
              </w:tabs>
              <w:rPr>
                <w:rFonts w:cs="Arial"/>
                <w:sz w:val="18"/>
                <w:szCs w:val="18"/>
              </w:rPr>
            </w:pPr>
            <w:r w:rsidRPr="002B7200">
              <w:rPr>
                <w:rFonts w:cs="Arial"/>
                <w:sz w:val="18"/>
                <w:szCs w:val="18"/>
              </w:rPr>
              <w:t>Restaurants, Altersheim, Kantinen, usw. („Gastronomiebetriebe“).</w:t>
            </w:r>
          </w:p>
          <w:p w:rsidR="00ED460E" w:rsidRPr="002B7200" w:rsidRDefault="00ED460E" w:rsidP="00ED460E">
            <w:pPr>
              <w:tabs>
                <w:tab w:val="right" w:pos="1420"/>
                <w:tab w:val="center" w:pos="4819"/>
              </w:tabs>
              <w:rPr>
                <w:rFonts w:cs="Arial"/>
                <w:sz w:val="18"/>
                <w:szCs w:val="18"/>
              </w:rPr>
            </w:pPr>
          </w:p>
          <w:p w:rsidR="00ED460E" w:rsidRPr="002B7200" w:rsidRDefault="00ED460E" w:rsidP="00ED460E">
            <w:pPr>
              <w:tabs>
                <w:tab w:val="right" w:pos="1420"/>
                <w:tab w:val="center" w:pos="4819"/>
              </w:tabs>
              <w:rPr>
                <w:rFonts w:cs="Arial"/>
                <w:sz w:val="18"/>
                <w:szCs w:val="18"/>
              </w:rPr>
            </w:pPr>
            <w:r w:rsidRPr="002B7200">
              <w:rPr>
                <w:rFonts w:cs="Arial"/>
                <w:sz w:val="18"/>
                <w:szCs w:val="18"/>
              </w:rPr>
              <w:t>Nicht Hotellerie / Motels usw.</w:t>
            </w:r>
          </w:p>
          <w:p w:rsidR="00ED460E" w:rsidRPr="002B7200" w:rsidRDefault="00ED460E" w:rsidP="00ED460E">
            <w:pPr>
              <w:tabs>
                <w:tab w:val="right" w:pos="1420"/>
                <w:tab w:val="center" w:pos="4819"/>
              </w:tabs>
              <w:rPr>
                <w:rFonts w:cs="Arial"/>
                <w:sz w:val="18"/>
                <w:szCs w:val="18"/>
              </w:rPr>
            </w:pPr>
            <w:r w:rsidRPr="002B7200">
              <w:rPr>
                <w:rFonts w:cs="Arial"/>
                <w:sz w:val="18"/>
                <w:szCs w:val="18"/>
              </w:rPr>
              <w:t>Bei Übernachtungsgastronomie wird die Anzahl Betten in Wohnungs-Äquivalente umgerechnet.</w:t>
            </w:r>
          </w:p>
        </w:tc>
        <w:tc>
          <w:tcPr>
            <w:tcW w:w="1417"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+1 TZ</w:t>
            </w:r>
          </w:p>
        </w:tc>
      </w:tr>
      <w:tr w:rsidR="00ED460E" w:rsidRPr="002B7200" w:rsidTr="00ED460E">
        <w:trPr>
          <w:cantSplit/>
          <w:trHeight w:val="284"/>
        </w:trPr>
        <w:tc>
          <w:tcPr>
            <w:tcW w:w="2580" w:type="dxa"/>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 xml:space="preserve">Gewerbliche </w:t>
            </w:r>
          </w:p>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Grossverbraucher</w:t>
            </w:r>
          </w:p>
        </w:tc>
        <w:tc>
          <w:tcPr>
            <w:tcW w:w="3969" w:type="dxa"/>
            <w:shd w:val="clear" w:color="auto" w:fill="FFFFFF" w:themeFill="background1"/>
            <w:vAlign w:val="center"/>
          </w:tcPr>
          <w:p w:rsidR="00ED460E" w:rsidRPr="002B7200" w:rsidRDefault="00ED460E" w:rsidP="00ED460E">
            <w:pPr>
              <w:tabs>
                <w:tab w:val="right" w:pos="1420"/>
                <w:tab w:val="center" w:pos="4819"/>
              </w:tabs>
              <w:rPr>
                <w:rFonts w:cs="Arial"/>
                <w:sz w:val="18"/>
                <w:szCs w:val="18"/>
              </w:rPr>
            </w:pPr>
            <w:r w:rsidRPr="002B7200">
              <w:rPr>
                <w:rFonts w:cs="Arial"/>
                <w:sz w:val="18"/>
                <w:szCs w:val="18"/>
              </w:rPr>
              <w:t>Beispielsweise Grosswäschereien, Autowaschcenter usw.</w:t>
            </w:r>
          </w:p>
        </w:tc>
        <w:tc>
          <w:tcPr>
            <w:tcW w:w="1417"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+ 1 TZ</w:t>
            </w:r>
          </w:p>
        </w:tc>
      </w:tr>
      <w:tr w:rsidR="00ED460E" w:rsidRPr="002B7200" w:rsidTr="00ED460E">
        <w:trPr>
          <w:cantSplit/>
          <w:trHeight w:val="284"/>
        </w:trPr>
        <w:tc>
          <w:tcPr>
            <w:tcW w:w="2580" w:type="dxa"/>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Badeanstalten, Sportcenter, Schulanlagen</w:t>
            </w:r>
          </w:p>
        </w:tc>
        <w:tc>
          <w:tcPr>
            <w:tcW w:w="3969" w:type="dxa"/>
            <w:shd w:val="clear" w:color="auto" w:fill="FFFFFF" w:themeFill="background1"/>
            <w:vAlign w:val="center"/>
          </w:tcPr>
          <w:p w:rsidR="00ED460E" w:rsidRPr="002B7200" w:rsidRDefault="00ED460E" w:rsidP="00ED460E">
            <w:pPr>
              <w:tabs>
                <w:tab w:val="right" w:pos="1420"/>
                <w:tab w:val="center" w:pos="4819"/>
              </w:tabs>
              <w:rPr>
                <w:rFonts w:cs="Arial"/>
                <w:sz w:val="18"/>
                <w:szCs w:val="18"/>
              </w:rPr>
            </w:pPr>
            <w:r w:rsidRPr="002B7200">
              <w:rPr>
                <w:rFonts w:cs="Arial"/>
                <w:sz w:val="18"/>
                <w:szCs w:val="18"/>
              </w:rPr>
              <w:t>Hallenbäder, Freibäder, Sportcenter usw. allerdings nur die Gebäudeumgebung ohne Liegeflächen, Sportrasenflächen usw. sowie Schulanlagen welche auch Sportanlagen beinhalten.</w:t>
            </w:r>
          </w:p>
          <w:p w:rsidR="00ED460E" w:rsidRPr="002B7200" w:rsidRDefault="00ED460E" w:rsidP="00ED460E">
            <w:pPr>
              <w:tabs>
                <w:tab w:val="right" w:pos="1420"/>
                <w:tab w:val="center" w:pos="4819"/>
              </w:tabs>
              <w:rPr>
                <w:rFonts w:cs="Arial"/>
                <w:sz w:val="18"/>
                <w:szCs w:val="18"/>
              </w:rPr>
            </w:pPr>
          </w:p>
        </w:tc>
        <w:tc>
          <w:tcPr>
            <w:tcW w:w="1417" w:type="dxa"/>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+1 TZ</w:t>
            </w:r>
          </w:p>
        </w:tc>
      </w:tr>
      <w:tr w:rsidR="00ED460E" w:rsidRPr="002B7200" w:rsidTr="00ED460E">
        <w:trPr>
          <w:cantSplit/>
          <w:trHeight w:val="284"/>
        </w:trPr>
        <w:tc>
          <w:tcPr>
            <w:tcW w:w="2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460E" w:rsidRPr="002B7200" w:rsidRDefault="00ED460E" w:rsidP="00ED460E">
            <w:pPr>
              <w:tabs>
                <w:tab w:val="left" w:pos="284"/>
                <w:tab w:val="center" w:pos="4819"/>
              </w:tabs>
              <w:rPr>
                <w:rFonts w:cs="Arial"/>
                <w:b/>
                <w:bCs/>
                <w:sz w:val="18"/>
                <w:szCs w:val="18"/>
              </w:rPr>
            </w:pPr>
            <w:r w:rsidRPr="002B7200">
              <w:rPr>
                <w:rFonts w:cs="Arial"/>
                <w:b/>
                <w:bCs/>
                <w:sz w:val="18"/>
                <w:szCs w:val="18"/>
              </w:rPr>
              <w:t>Geringer Mengenbezug, Saisonale Nutzung</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460E" w:rsidRPr="002B7200" w:rsidRDefault="00ED460E" w:rsidP="00ED460E">
            <w:pPr>
              <w:tabs>
                <w:tab w:val="right" w:pos="1420"/>
                <w:tab w:val="center" w:pos="4819"/>
              </w:tabs>
              <w:rPr>
                <w:rFonts w:cs="Arial"/>
                <w:sz w:val="18"/>
                <w:szCs w:val="18"/>
              </w:rPr>
            </w:pPr>
            <w:r w:rsidRPr="002B7200">
              <w:rPr>
                <w:rFonts w:cs="Arial"/>
                <w:sz w:val="18"/>
                <w:szCs w:val="18"/>
              </w:rPr>
              <w:t xml:space="preserve">Grundstücke mit Ferienhäusern, Ferienwohnungen bzw. geringem Mengenbezug (gemäss Art. </w:t>
            </w:r>
            <w:r>
              <w:rPr>
                <w:rFonts w:cs="Arial"/>
                <w:sz w:val="18"/>
                <w:szCs w:val="18"/>
              </w:rPr>
              <w:t>24</w:t>
            </w:r>
            <w:r w:rsidRPr="002B7200">
              <w:rPr>
                <w:rFonts w:cs="Arial"/>
                <w:sz w:val="18"/>
                <w:szCs w:val="18"/>
              </w:rPr>
              <w:t xml:space="preserve"> Abs. </w:t>
            </w:r>
            <w:r>
              <w:rPr>
                <w:rFonts w:cs="Arial"/>
                <w:sz w:val="18"/>
                <w:szCs w:val="18"/>
              </w:rPr>
              <w:t>9</w:t>
            </w:r>
            <w:r w:rsidRPr="002B7200">
              <w:rPr>
                <w:rFonts w:cs="Arial"/>
                <w:sz w:val="18"/>
                <w:szCs w:val="18"/>
              </w:rPr>
              <w:t xml:space="preserve"> </w:t>
            </w:r>
            <w:r>
              <w:rPr>
                <w:rFonts w:cs="Arial"/>
                <w:sz w:val="18"/>
                <w:szCs w:val="18"/>
              </w:rPr>
              <w:t>AR</w:t>
            </w:r>
            <w:r w:rsidRPr="002B7200">
              <w:rPr>
                <w:rFonts w:cs="Arial"/>
                <w:sz w:val="18"/>
                <w:szCs w:val="18"/>
              </w:rPr>
              <w:t>). Zuschlag gelangt nur für Betriebsgebühren zur Anwendung.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460E" w:rsidRPr="002B7200" w:rsidRDefault="00ED460E" w:rsidP="00ED460E">
            <w:pPr>
              <w:tabs>
                <w:tab w:val="center" w:pos="4819"/>
              </w:tabs>
              <w:jc w:val="center"/>
              <w:rPr>
                <w:rFonts w:cs="Arial"/>
                <w:sz w:val="18"/>
                <w:szCs w:val="18"/>
              </w:rPr>
            </w:pPr>
            <w:r w:rsidRPr="002B7200">
              <w:rPr>
                <w:rFonts w:cs="Arial"/>
                <w:sz w:val="18"/>
                <w:szCs w:val="18"/>
              </w:rPr>
              <w:t>+ 2 TZ</w:t>
            </w:r>
          </w:p>
        </w:tc>
      </w:tr>
    </w:tbl>
    <w:p w:rsidR="00ED460E" w:rsidRPr="002B7200" w:rsidRDefault="00ED460E" w:rsidP="00ED460E">
      <w:pPr>
        <w:pStyle w:val="Kopfzeile"/>
        <w:tabs>
          <w:tab w:val="left" w:pos="284"/>
        </w:tabs>
        <w:spacing w:line="280" w:lineRule="atLeast"/>
        <w:ind w:left="284" w:hanging="284"/>
        <w:jc w:val="both"/>
        <w:rPr>
          <w:rFonts w:cs="Arial"/>
        </w:rPr>
      </w:pPr>
    </w:p>
    <w:p w:rsidR="00ED460E" w:rsidRPr="00DD4B89" w:rsidRDefault="00ED460E" w:rsidP="00DD4B89">
      <w:pPr>
        <w:pStyle w:val="Kopfzeile"/>
        <w:tabs>
          <w:tab w:val="left" w:pos="284"/>
        </w:tabs>
        <w:spacing w:line="280" w:lineRule="atLeast"/>
        <w:ind w:left="284" w:hanging="284"/>
        <w:rPr>
          <w:rFonts w:cs="Arial"/>
          <w:sz w:val="20"/>
        </w:rPr>
      </w:pPr>
      <w:r w:rsidRPr="00DD4B89">
        <w:rPr>
          <w:rFonts w:cs="Arial"/>
          <w:sz w:val="20"/>
        </w:rPr>
        <w:tab/>
        <w:t>In Ausnahmefällen, wo es die Verursachergerechtigkeit verlangt, können weitere Nutzungskorrekturen angewendet werden.</w:t>
      </w:r>
    </w:p>
    <w:p w:rsidR="00ED460E" w:rsidRPr="002B7200" w:rsidRDefault="00ED460E" w:rsidP="00ED460E">
      <w:pPr>
        <w:pStyle w:val="Kopfzeile"/>
        <w:tabs>
          <w:tab w:val="left" w:pos="284"/>
        </w:tabs>
        <w:spacing w:line="280" w:lineRule="atLeast"/>
        <w:ind w:left="284" w:hanging="284"/>
        <w:jc w:val="both"/>
        <w:rPr>
          <w:rFonts w:cs="Arial"/>
        </w:rPr>
      </w:pPr>
    </w:p>
    <w:p w:rsidR="00ED460E" w:rsidRPr="002B7200" w:rsidRDefault="00ED460E" w:rsidP="00ED460E">
      <w:pPr>
        <w:pStyle w:val="Kopfzeile"/>
        <w:tabs>
          <w:tab w:val="left" w:pos="284"/>
        </w:tabs>
        <w:spacing w:line="280" w:lineRule="atLeast"/>
        <w:ind w:left="284" w:hanging="284"/>
        <w:jc w:val="both"/>
        <w:rPr>
          <w:rFonts w:cs="Arial"/>
        </w:rPr>
      </w:pPr>
    </w:p>
    <w:p w:rsidR="00ED460E" w:rsidRPr="002B7200" w:rsidRDefault="00ED460E" w:rsidP="00DD4B89">
      <w:pPr>
        <w:pStyle w:val="berschrift2"/>
      </w:pPr>
      <w:bookmarkStart w:id="24" w:name="_Toc71123105"/>
      <w:bookmarkStart w:id="25" w:name="_Toc71879418"/>
      <w:r w:rsidRPr="002B7200">
        <w:t>Art. 9</w:t>
      </w:r>
      <w:r w:rsidRPr="002B7200">
        <w:tab/>
        <w:t>Einleitung von Reinwasser</w:t>
      </w:r>
      <w:bookmarkEnd w:id="24"/>
      <w:bookmarkEnd w:id="25"/>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DD4B89">
      <w:pPr>
        <w:tabs>
          <w:tab w:val="left" w:pos="284"/>
          <w:tab w:val="left" w:pos="4536"/>
          <w:tab w:val="left" w:pos="6237"/>
        </w:tabs>
        <w:ind w:left="284" w:hanging="284"/>
        <w:rPr>
          <w:rFonts w:cs="Arial"/>
        </w:rPr>
      </w:pPr>
      <w:r w:rsidRPr="002B7200">
        <w:rPr>
          <w:rFonts w:cs="Arial"/>
        </w:rPr>
        <w:t>1</w:t>
      </w:r>
      <w:r w:rsidRPr="002B7200">
        <w:rPr>
          <w:rFonts w:cs="Arial"/>
        </w:rPr>
        <w:tab/>
        <w:t xml:space="preserve">Für das Einleiten von stetig anfallendem Reinwasser auf einem Grundstück (Brunnen, Überlauf einer privaten Quelle usw.) wird gemäss Art. </w:t>
      </w:r>
      <w:r>
        <w:rPr>
          <w:rFonts w:cs="Arial"/>
        </w:rPr>
        <w:t>24</w:t>
      </w:r>
      <w:r w:rsidRPr="002B7200">
        <w:rPr>
          <w:rFonts w:cs="Arial"/>
        </w:rPr>
        <w:t xml:space="preserve"> Abs. </w:t>
      </w:r>
      <w:r>
        <w:rPr>
          <w:rFonts w:cs="Arial"/>
        </w:rPr>
        <w:t>7 AR</w:t>
      </w:r>
      <w:r w:rsidRPr="002B7200">
        <w:rPr>
          <w:rFonts w:cs="Arial"/>
        </w:rPr>
        <w:t xml:space="preserve"> eine</w:t>
      </w:r>
      <w:r>
        <w:rPr>
          <w:rFonts w:cs="Arial"/>
        </w:rPr>
        <w:t xml:space="preserve"> jährliche</w:t>
      </w:r>
      <w:r w:rsidRPr="002B7200">
        <w:rPr>
          <w:rFonts w:cs="Arial"/>
        </w:rPr>
        <w:t xml:space="preserve"> Sondergebühr erhoben.</w:t>
      </w:r>
    </w:p>
    <w:p w:rsidR="00ED460E" w:rsidRPr="002B7200" w:rsidRDefault="00ED460E" w:rsidP="00DD4B89">
      <w:pPr>
        <w:tabs>
          <w:tab w:val="left" w:pos="284"/>
          <w:tab w:val="left" w:pos="4536"/>
          <w:tab w:val="left" w:pos="6237"/>
        </w:tabs>
        <w:ind w:left="284" w:hanging="284"/>
        <w:rPr>
          <w:rFonts w:cs="Arial"/>
        </w:rPr>
      </w:pPr>
    </w:p>
    <w:p w:rsidR="00ED460E" w:rsidRPr="002B7200" w:rsidRDefault="00ED460E" w:rsidP="00DD4B89">
      <w:pPr>
        <w:tabs>
          <w:tab w:val="left" w:pos="284"/>
          <w:tab w:val="left" w:pos="4536"/>
          <w:tab w:val="left" w:pos="6237"/>
        </w:tabs>
        <w:ind w:left="284" w:hanging="284"/>
        <w:rPr>
          <w:rFonts w:cs="Arial"/>
          <w:sz w:val="22"/>
        </w:rPr>
      </w:pPr>
      <w:r w:rsidRPr="002B7200">
        <w:rPr>
          <w:rFonts w:cs="Arial"/>
        </w:rPr>
        <w:t>2</w:t>
      </w:r>
      <w:r w:rsidRPr="002B7200">
        <w:rPr>
          <w:rFonts w:cs="Arial"/>
        </w:rPr>
        <w:tab/>
        <w:t>Für die Einleitung von mehr als 2 Litern / Minute wird eine jährliche Gebühr von</w:t>
      </w:r>
      <w:r>
        <w:rPr>
          <w:rFonts w:cs="Arial"/>
        </w:rPr>
        <w:t xml:space="preserve"> Fr</w:t>
      </w:r>
      <w:r w:rsidRPr="002427DB">
        <w:rPr>
          <w:rFonts w:cs="Arial"/>
        </w:rPr>
        <w:t>.</w:t>
      </w:r>
      <w:r w:rsidRPr="002427DB">
        <w:rPr>
          <w:rFonts w:cs="Arial"/>
          <w:highlight w:val="lightGray"/>
        </w:rPr>
        <w:t xml:space="preserve"> 300.</w:t>
      </w:r>
      <w:r>
        <w:rPr>
          <w:rFonts w:cs="Arial"/>
          <w:highlight w:val="lightGray"/>
        </w:rPr>
        <w:t>–</w:t>
      </w:r>
      <w:r w:rsidRPr="002B7200">
        <w:rPr>
          <w:rFonts w:cs="Arial"/>
        </w:rPr>
        <w:t xml:space="preserve"> geschuldet.</w:t>
      </w:r>
    </w:p>
    <w:p w:rsidR="00ED460E" w:rsidRPr="002B7200" w:rsidRDefault="00ED460E" w:rsidP="00DD4B89">
      <w:pPr>
        <w:tabs>
          <w:tab w:val="left" w:pos="284"/>
          <w:tab w:val="left" w:pos="4536"/>
          <w:tab w:val="left" w:pos="6237"/>
        </w:tabs>
        <w:ind w:left="284" w:hanging="284"/>
        <w:rPr>
          <w:rFonts w:cs="Arial"/>
        </w:rPr>
      </w:pPr>
    </w:p>
    <w:p w:rsidR="00ED460E" w:rsidRPr="002B7200" w:rsidRDefault="00ED460E" w:rsidP="00DD4B89">
      <w:pPr>
        <w:tabs>
          <w:tab w:val="left" w:pos="284"/>
          <w:tab w:val="left" w:pos="4536"/>
          <w:tab w:val="left" w:pos="6237"/>
        </w:tabs>
        <w:ind w:left="284" w:hanging="284"/>
        <w:rPr>
          <w:rFonts w:cs="Arial"/>
        </w:rPr>
      </w:pPr>
      <w:r w:rsidRPr="002B7200">
        <w:rPr>
          <w:rFonts w:cs="Arial"/>
        </w:rPr>
        <w:t>3</w:t>
      </w:r>
      <w:r w:rsidRPr="002B7200">
        <w:rPr>
          <w:rFonts w:cs="Arial"/>
        </w:rPr>
        <w:tab/>
        <w:t>Bei einer nachweislich geringeren Einleitung sowie bei unstetig anfallendem Reinwasser (z.B. unverschmutztes Kühlwasser</w:t>
      </w:r>
      <w:r>
        <w:rPr>
          <w:rFonts w:cs="Arial"/>
        </w:rPr>
        <w:t>)</w:t>
      </w:r>
      <w:r w:rsidRPr="002B7200">
        <w:rPr>
          <w:rFonts w:cs="Arial"/>
        </w:rPr>
        <w:t xml:space="preserve"> wird die Gebühr anteilsmässig berechnet.</w:t>
      </w: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ED460E">
      <w:pPr>
        <w:tabs>
          <w:tab w:val="left" w:pos="4536"/>
          <w:tab w:val="left" w:pos="6237"/>
        </w:tabs>
        <w:jc w:val="both"/>
        <w:rPr>
          <w:rFonts w:cs="Arial"/>
        </w:rPr>
      </w:pPr>
    </w:p>
    <w:p w:rsidR="00ED460E" w:rsidRPr="001F0E67" w:rsidRDefault="00ED460E" w:rsidP="00DD4B89">
      <w:pPr>
        <w:pStyle w:val="berschrift2"/>
      </w:pPr>
      <w:bookmarkStart w:id="26" w:name="_Toc71123106"/>
      <w:bookmarkStart w:id="27" w:name="_Toc71879419"/>
      <w:r w:rsidRPr="001F0E67">
        <w:t>Art. 10</w:t>
      </w:r>
      <w:r w:rsidRPr="001F0E67">
        <w:tab/>
        <w:t>Entwässerung von Baustellen</w:t>
      </w:r>
      <w:bookmarkEnd w:id="26"/>
      <w:bookmarkEnd w:id="27"/>
    </w:p>
    <w:p w:rsidR="00ED460E" w:rsidRPr="001F0E67" w:rsidRDefault="00ED460E" w:rsidP="00ED460E">
      <w:pPr>
        <w:ind w:left="284" w:hanging="284"/>
        <w:rPr>
          <w:rFonts w:cs="Arial"/>
        </w:rPr>
      </w:pPr>
    </w:p>
    <w:p w:rsidR="00ED460E" w:rsidRPr="001F0E67" w:rsidRDefault="00ED460E" w:rsidP="00ED460E">
      <w:pPr>
        <w:ind w:left="284" w:hanging="284"/>
        <w:rPr>
          <w:rFonts w:cs="Arial"/>
        </w:rPr>
      </w:pPr>
      <w:r w:rsidRPr="001F0E67">
        <w:rPr>
          <w:rFonts w:cs="Arial"/>
        </w:rPr>
        <w:t>1</w:t>
      </w:r>
      <w:r w:rsidRPr="001F0E67">
        <w:rPr>
          <w:rFonts w:cs="Arial"/>
        </w:rPr>
        <w:tab/>
        <w:t xml:space="preserve">Gestützt auf Art. </w:t>
      </w:r>
      <w:r>
        <w:rPr>
          <w:rFonts w:cs="Arial"/>
        </w:rPr>
        <w:t>24</w:t>
      </w:r>
      <w:r w:rsidRPr="001F0E67">
        <w:rPr>
          <w:rFonts w:cs="Arial"/>
        </w:rPr>
        <w:t xml:space="preserve"> Abs. </w:t>
      </w:r>
      <w:r>
        <w:rPr>
          <w:rFonts w:cs="Arial"/>
        </w:rPr>
        <w:t>7</w:t>
      </w:r>
      <w:r w:rsidRPr="001F0E67">
        <w:rPr>
          <w:rFonts w:cs="Arial"/>
        </w:rPr>
        <w:t xml:space="preserve"> AR wird bei allen Baustellen mit einer Baugrubengrösse ab 500</w:t>
      </w:r>
      <w:r w:rsidR="00DD4B89">
        <w:rPr>
          <w:rFonts w:cs="Arial"/>
        </w:rPr>
        <w:t> </w:t>
      </w:r>
      <w:r w:rsidRPr="001F0E67">
        <w:rPr>
          <w:rFonts w:cs="Arial"/>
        </w:rPr>
        <w:t>m² für die Ableitung des unverschmutzten Meteorwassers eine Pauschalgebühr erhoben, welche sich an der Baugrubengrösse orientiert. Die Gebühr pro Quadratmeter Baugrubengrösse beträgt pro Jahr (pro rata)</w:t>
      </w:r>
      <w:r>
        <w:rPr>
          <w:rFonts w:cs="Arial"/>
        </w:rPr>
        <w:t xml:space="preserve"> Fr</w:t>
      </w:r>
      <w:r w:rsidRPr="002427DB">
        <w:rPr>
          <w:rFonts w:cs="Arial"/>
        </w:rPr>
        <w:t>.</w:t>
      </w:r>
      <w:r w:rsidRPr="002427DB">
        <w:rPr>
          <w:rFonts w:cs="Arial"/>
          <w:color w:val="000000" w:themeColor="text1"/>
          <w:highlight w:val="lightGray"/>
        </w:rPr>
        <w:t xml:space="preserve"> 0.70</w:t>
      </w:r>
      <w:r w:rsidRPr="002427DB">
        <w:rPr>
          <w:rFonts w:cs="Arial"/>
        </w:rPr>
        <w:t>.</w:t>
      </w:r>
      <w:r w:rsidRPr="001F0E67">
        <w:rPr>
          <w:rFonts w:cs="Arial"/>
        </w:rPr>
        <w:t xml:space="preserve"> </w:t>
      </w:r>
    </w:p>
    <w:p w:rsidR="00ED460E" w:rsidRPr="001F0E67" w:rsidRDefault="00ED460E" w:rsidP="00ED460E">
      <w:pPr>
        <w:ind w:left="284" w:hanging="284"/>
        <w:rPr>
          <w:rFonts w:cs="Arial"/>
        </w:rPr>
      </w:pPr>
    </w:p>
    <w:p w:rsidR="00ED460E" w:rsidRPr="001F0E67" w:rsidRDefault="00ED460E" w:rsidP="00ED460E">
      <w:pPr>
        <w:ind w:left="284" w:hanging="284"/>
        <w:rPr>
          <w:rFonts w:cs="Arial"/>
        </w:rPr>
      </w:pPr>
      <w:r w:rsidRPr="001F0E67">
        <w:rPr>
          <w:rFonts w:cs="Arial"/>
        </w:rPr>
        <w:t>2</w:t>
      </w:r>
      <w:r w:rsidRPr="001F0E67">
        <w:rPr>
          <w:rFonts w:cs="Arial"/>
        </w:rPr>
        <w:tab/>
        <w:t xml:space="preserve">Das Ableiten von Schmutzwasser in eine Schmutzwasserleitung führt zu einer Mengengebühr pro Kubikmeter gemäss Art. 4. Die Menge ist über eine </w:t>
      </w:r>
      <w:r>
        <w:rPr>
          <w:rFonts w:cs="Arial"/>
        </w:rPr>
        <w:t xml:space="preserve">vom Gemeinderat </w:t>
      </w:r>
      <w:r>
        <w:rPr>
          <w:rFonts w:cs="Arial"/>
        </w:rPr>
        <w:lastRenderedPageBreak/>
        <w:t xml:space="preserve">festzulegende </w:t>
      </w:r>
      <w:r w:rsidRPr="001F0E67">
        <w:rPr>
          <w:rFonts w:cs="Arial"/>
        </w:rPr>
        <w:t xml:space="preserve">Messeinrichtung zu messen oder kann bei kleineren Baustellen </w:t>
      </w:r>
      <w:r>
        <w:rPr>
          <w:rFonts w:cs="Arial"/>
        </w:rPr>
        <w:t>vom Gemeinderat</w:t>
      </w:r>
      <w:r w:rsidRPr="001F0E67">
        <w:rPr>
          <w:rFonts w:cs="Arial"/>
        </w:rPr>
        <w:t xml:space="preserve"> geschätzt werden. </w:t>
      </w:r>
    </w:p>
    <w:p w:rsidR="00ED460E" w:rsidRPr="001F0E67" w:rsidRDefault="00ED460E" w:rsidP="00ED460E">
      <w:pPr>
        <w:ind w:left="284" w:hanging="284"/>
        <w:rPr>
          <w:rFonts w:cs="Arial"/>
        </w:rPr>
      </w:pPr>
    </w:p>
    <w:p w:rsidR="00ED460E" w:rsidRPr="001F0E67" w:rsidRDefault="00ED460E" w:rsidP="00ED460E">
      <w:pPr>
        <w:ind w:left="284" w:hanging="284"/>
        <w:rPr>
          <w:rFonts w:cs="Arial"/>
        </w:rPr>
      </w:pPr>
      <w:r w:rsidRPr="001F0E67">
        <w:rPr>
          <w:rFonts w:cs="Arial"/>
        </w:rPr>
        <w:t>3</w:t>
      </w:r>
      <w:r w:rsidRPr="001F0E67">
        <w:rPr>
          <w:rFonts w:cs="Arial"/>
        </w:rPr>
        <w:tab/>
        <w:t xml:space="preserve">Das Ableiten von Grund-, Quell-, oder Hangwasser in eine Sauberwasserleitung ist über eine </w:t>
      </w:r>
      <w:r>
        <w:rPr>
          <w:rFonts w:cs="Arial"/>
        </w:rPr>
        <w:t xml:space="preserve">vom Gemeinderat festzulegende </w:t>
      </w:r>
      <w:r w:rsidRPr="001F0E67">
        <w:rPr>
          <w:rFonts w:cs="Arial"/>
        </w:rPr>
        <w:t xml:space="preserve">Messeinrichtung zu messen und führt gestützt auf Art. </w:t>
      </w:r>
      <w:r>
        <w:rPr>
          <w:rFonts w:cs="Arial"/>
        </w:rPr>
        <w:t>24</w:t>
      </w:r>
      <w:r w:rsidRPr="001F0E67">
        <w:rPr>
          <w:rFonts w:cs="Arial"/>
        </w:rPr>
        <w:t xml:space="preserve"> Abs. </w:t>
      </w:r>
      <w:r>
        <w:rPr>
          <w:rFonts w:cs="Arial"/>
        </w:rPr>
        <w:t>7</w:t>
      </w:r>
      <w:r w:rsidRPr="001F0E67">
        <w:rPr>
          <w:rFonts w:cs="Arial"/>
        </w:rPr>
        <w:t xml:space="preserve"> AR zu einer Sondergebühr. Dies beträgt jährlich</w:t>
      </w:r>
      <w:r>
        <w:rPr>
          <w:rFonts w:cs="Arial"/>
        </w:rPr>
        <w:t xml:space="preserve"> Fr</w:t>
      </w:r>
      <w:r w:rsidRPr="002427DB">
        <w:rPr>
          <w:rFonts w:cs="Arial"/>
        </w:rPr>
        <w:t>.</w:t>
      </w:r>
      <w:r w:rsidRPr="002427DB">
        <w:rPr>
          <w:rFonts w:cs="Arial"/>
          <w:color w:val="000000" w:themeColor="text1"/>
          <w:highlight w:val="lightGray"/>
        </w:rPr>
        <w:t xml:space="preserve"> 300</w:t>
      </w:r>
      <w:r>
        <w:rPr>
          <w:rFonts w:cs="Arial"/>
          <w:color w:val="000000" w:themeColor="text1"/>
          <w:highlight w:val="lightGray"/>
        </w:rPr>
        <w:t>.</w:t>
      </w:r>
      <w:r w:rsidR="00CF07A2">
        <w:rPr>
          <w:rFonts w:cs="Arial"/>
          <w:color w:val="000000" w:themeColor="text1"/>
          <w:highlight w:val="lightGray"/>
        </w:rPr>
        <w:t>–</w:t>
      </w:r>
      <w:r>
        <w:rPr>
          <w:rFonts w:cs="Arial"/>
          <w:b/>
          <w:bCs/>
          <w:color w:val="000000" w:themeColor="text1"/>
        </w:rPr>
        <w:t xml:space="preserve"> </w:t>
      </w:r>
      <w:r w:rsidRPr="001F0E67">
        <w:rPr>
          <w:rFonts w:cs="Arial"/>
        </w:rPr>
        <w:t>pro l</w:t>
      </w:r>
      <w:r>
        <w:rPr>
          <w:rFonts w:cs="Arial"/>
        </w:rPr>
        <w:t xml:space="preserve"> </w:t>
      </w:r>
      <w:r w:rsidRPr="001F0E67">
        <w:rPr>
          <w:rFonts w:cs="Arial"/>
        </w:rPr>
        <w:t>/</w:t>
      </w:r>
      <w:r>
        <w:rPr>
          <w:rFonts w:cs="Arial"/>
        </w:rPr>
        <w:t xml:space="preserve"> </w:t>
      </w:r>
      <w:r w:rsidRPr="001F0E67">
        <w:rPr>
          <w:rFonts w:cs="Arial"/>
        </w:rPr>
        <w:t>min</w:t>
      </w:r>
      <w:r>
        <w:rPr>
          <w:rFonts w:cs="Arial"/>
        </w:rPr>
        <w:t>.</w:t>
      </w:r>
      <w:r w:rsidRPr="001F0E67">
        <w:rPr>
          <w:rFonts w:cs="Arial"/>
        </w:rPr>
        <w:t xml:space="preserve"> (Mittelwert).</w:t>
      </w:r>
    </w:p>
    <w:p w:rsidR="00ED460E" w:rsidRPr="001F0E67" w:rsidRDefault="00ED460E" w:rsidP="00ED460E">
      <w:pPr>
        <w:ind w:left="284" w:hanging="284"/>
        <w:rPr>
          <w:rFonts w:cs="Arial"/>
        </w:rPr>
      </w:pPr>
    </w:p>
    <w:p w:rsidR="00ED460E" w:rsidRPr="001F0E67" w:rsidRDefault="00ED460E" w:rsidP="00ED460E">
      <w:pPr>
        <w:ind w:left="284" w:hanging="284"/>
        <w:rPr>
          <w:rFonts w:cs="Arial"/>
        </w:rPr>
      </w:pPr>
      <w:r w:rsidRPr="001F0E67">
        <w:rPr>
          <w:rFonts w:cs="Arial"/>
        </w:rPr>
        <w:t>4</w:t>
      </w:r>
      <w:r w:rsidRPr="001F0E67">
        <w:rPr>
          <w:rFonts w:cs="Arial"/>
        </w:rPr>
        <w:tab/>
        <w:t xml:space="preserve">Die gesamten Aufwendungen der </w:t>
      </w:r>
      <w:r>
        <w:rPr>
          <w:rFonts w:cs="Arial"/>
        </w:rPr>
        <w:t>Einwohnergemeinde</w:t>
      </w:r>
      <w:r w:rsidRPr="001F0E67">
        <w:rPr>
          <w:rFonts w:cs="Arial"/>
        </w:rPr>
        <w:t xml:space="preserve"> für die Messung der Einleitmenge wird dem Verursacher verrechnet. Die mitverwendeten Leitungen sind nach Baufertigstellung von der Bauherrschaft zu reinigen. </w:t>
      </w:r>
    </w:p>
    <w:p w:rsidR="00ED460E" w:rsidRPr="001F0E67" w:rsidRDefault="00ED460E" w:rsidP="00ED460E">
      <w:pPr>
        <w:ind w:left="284" w:hanging="284"/>
        <w:rPr>
          <w:rFonts w:cs="Arial"/>
        </w:rPr>
      </w:pPr>
    </w:p>
    <w:p w:rsidR="00ED460E" w:rsidRPr="001F0E67" w:rsidRDefault="00ED460E" w:rsidP="00ED460E">
      <w:pPr>
        <w:ind w:left="284" w:hanging="284"/>
        <w:rPr>
          <w:rFonts w:cs="Arial"/>
        </w:rPr>
      </w:pPr>
      <w:r w:rsidRPr="001F0E67">
        <w:rPr>
          <w:rFonts w:cs="Arial"/>
        </w:rPr>
        <w:t>5</w:t>
      </w:r>
      <w:r w:rsidRPr="001F0E67">
        <w:rPr>
          <w:rFonts w:cs="Arial"/>
        </w:rPr>
        <w:tab/>
        <w:t xml:space="preserve">Die Bauherrschaft hat </w:t>
      </w:r>
      <w:r>
        <w:rPr>
          <w:rFonts w:cs="Arial"/>
        </w:rPr>
        <w:t>dem Gemeinderat</w:t>
      </w:r>
      <w:r w:rsidRPr="001F0E67">
        <w:rPr>
          <w:rFonts w:cs="Arial"/>
        </w:rPr>
        <w:t xml:space="preserve"> die für die Erhebung der obigen Gebühren notwendigen Angaben (Art der anfallenden Abwässer, Abschätzung der Einleitmengen, Entwässerungskonzept, Bewilligungen, Kapazitäts-nachweise, Baugrubengrösse, Messprotokoll usw.) zur Verfügung zu stellen. Die Angaben über die zu erwartenden Abflussmengen sind auf Verlangen </w:t>
      </w:r>
      <w:r>
        <w:rPr>
          <w:rFonts w:cs="Arial"/>
        </w:rPr>
        <w:t>des Gemeinderats</w:t>
      </w:r>
      <w:r w:rsidRPr="001F0E67">
        <w:rPr>
          <w:rFonts w:cs="Arial"/>
        </w:rPr>
        <w:t xml:space="preserve"> mit einem geologischen Gutachten zu stützen. </w:t>
      </w:r>
    </w:p>
    <w:p w:rsidR="00ED460E" w:rsidRPr="001F0E67" w:rsidRDefault="00ED460E" w:rsidP="00ED460E">
      <w:pPr>
        <w:ind w:left="284" w:hanging="284"/>
        <w:rPr>
          <w:rFonts w:cs="Arial"/>
        </w:rPr>
      </w:pPr>
    </w:p>
    <w:p w:rsidR="00ED460E" w:rsidRPr="002B7200" w:rsidRDefault="00ED460E" w:rsidP="00ED460E">
      <w:pPr>
        <w:ind w:left="284" w:hanging="284"/>
        <w:rPr>
          <w:rFonts w:cs="Arial"/>
        </w:rPr>
      </w:pPr>
      <w:r w:rsidRPr="001F0E67">
        <w:rPr>
          <w:rFonts w:cs="Arial"/>
        </w:rPr>
        <w:t>6</w:t>
      </w:r>
      <w:r w:rsidRPr="001F0E67">
        <w:rPr>
          <w:rFonts w:cs="Arial"/>
        </w:rPr>
        <w:tab/>
      </w:r>
      <w:r>
        <w:rPr>
          <w:rFonts w:cs="Arial"/>
        </w:rPr>
        <w:t>Der Gemeinderat</w:t>
      </w:r>
      <w:r w:rsidRPr="001F0E67">
        <w:rPr>
          <w:rFonts w:cs="Arial"/>
        </w:rPr>
        <w:t xml:space="preserve"> kann in einer gegenseitig zu unterzeichnende</w:t>
      </w:r>
      <w:r w:rsidR="009862DE">
        <w:rPr>
          <w:rFonts w:cs="Arial"/>
        </w:rPr>
        <w:t>r</w:t>
      </w:r>
      <w:r w:rsidRPr="001F0E67">
        <w:rPr>
          <w:rFonts w:cs="Arial"/>
        </w:rPr>
        <w:t xml:space="preserve"> schriftliche</w:t>
      </w:r>
      <w:r w:rsidR="009862DE">
        <w:rPr>
          <w:rFonts w:cs="Arial"/>
        </w:rPr>
        <w:t>r</w:t>
      </w:r>
      <w:r w:rsidRPr="001F0E67">
        <w:rPr>
          <w:rFonts w:cs="Arial"/>
        </w:rPr>
        <w:t xml:space="preserve"> Vereinbarung die Bedingungen und Gebühren präzisieren.</w:t>
      </w:r>
    </w:p>
    <w:p w:rsidR="00ED460E" w:rsidRPr="002B7200" w:rsidRDefault="00ED460E" w:rsidP="00ED460E">
      <w:pPr>
        <w:ind w:left="284" w:hanging="284"/>
        <w:rPr>
          <w:rFonts w:cs="Arial"/>
        </w:rPr>
      </w:pPr>
    </w:p>
    <w:p w:rsidR="00ED460E" w:rsidRPr="002B7200" w:rsidRDefault="00ED460E" w:rsidP="00ED460E">
      <w:pPr>
        <w:ind w:left="284" w:hanging="284"/>
        <w:rPr>
          <w:rFonts w:cs="Arial"/>
        </w:rPr>
      </w:pPr>
    </w:p>
    <w:p w:rsidR="00ED460E" w:rsidRPr="002B7200" w:rsidRDefault="00ED460E" w:rsidP="00DD4B89">
      <w:pPr>
        <w:pStyle w:val="berschrift2"/>
      </w:pPr>
      <w:bookmarkStart w:id="28" w:name="_Toc71123107"/>
      <w:bookmarkStart w:id="29" w:name="_Toc71879420"/>
      <w:r w:rsidRPr="002B7200">
        <w:t xml:space="preserve">Art. </w:t>
      </w:r>
      <w:r>
        <w:t>11</w:t>
      </w:r>
      <w:r w:rsidRPr="002B7200">
        <w:tab/>
        <w:t>Strassenparzellen</w:t>
      </w:r>
      <w:bookmarkEnd w:id="28"/>
      <w:bookmarkEnd w:id="29"/>
    </w:p>
    <w:p w:rsidR="00ED460E" w:rsidRPr="002B7200" w:rsidRDefault="00ED460E" w:rsidP="00ED460E">
      <w:pPr>
        <w:tabs>
          <w:tab w:val="left" w:pos="4536"/>
          <w:tab w:val="left" w:pos="6237"/>
        </w:tabs>
        <w:jc w:val="both"/>
        <w:rPr>
          <w:rFonts w:cs="Arial"/>
          <w:sz w:val="18"/>
        </w:rPr>
      </w:pPr>
    </w:p>
    <w:p w:rsidR="00ED460E" w:rsidRPr="002B7200" w:rsidRDefault="00ED460E" w:rsidP="00ED460E">
      <w:pPr>
        <w:tabs>
          <w:tab w:val="left" w:pos="284"/>
          <w:tab w:val="left" w:pos="4536"/>
          <w:tab w:val="left" w:pos="6237"/>
        </w:tabs>
        <w:ind w:left="284" w:hanging="284"/>
        <w:jc w:val="both"/>
        <w:rPr>
          <w:rFonts w:cs="Arial"/>
        </w:rPr>
      </w:pPr>
      <w:r>
        <w:rPr>
          <w:rFonts w:cs="Arial"/>
        </w:rPr>
        <w:t>1</w:t>
      </w:r>
      <w:r w:rsidRPr="002B7200">
        <w:rPr>
          <w:rFonts w:cs="Arial"/>
        </w:rPr>
        <w:tab/>
        <w:t xml:space="preserve">Bei </w:t>
      </w:r>
      <w:r>
        <w:rPr>
          <w:rFonts w:cs="Arial"/>
        </w:rPr>
        <w:t>Strassengrundstücken</w:t>
      </w:r>
      <w:r w:rsidRPr="002B7200">
        <w:rPr>
          <w:rFonts w:cs="Arial"/>
        </w:rPr>
        <w:t xml:space="preserve">, welche </w:t>
      </w:r>
      <w:r>
        <w:rPr>
          <w:rFonts w:cs="Arial"/>
        </w:rPr>
        <w:t xml:space="preserve">gemäss Art. 20 AR </w:t>
      </w:r>
      <w:r w:rsidRPr="002B7200">
        <w:rPr>
          <w:rFonts w:cs="Arial"/>
        </w:rPr>
        <w:t xml:space="preserve">in die </w:t>
      </w:r>
      <w:r>
        <w:rPr>
          <w:rFonts w:cs="Arial"/>
        </w:rPr>
        <w:t>TZ</w:t>
      </w:r>
      <w:r w:rsidRPr="002B7200">
        <w:rPr>
          <w:rFonts w:cs="Arial"/>
        </w:rPr>
        <w:t xml:space="preserve"> 10 (</w:t>
      </w:r>
      <w:r>
        <w:rPr>
          <w:rFonts w:cs="Arial"/>
        </w:rPr>
        <w:t>Tarifzonen-</w:t>
      </w:r>
      <w:r w:rsidRPr="002B7200">
        <w:rPr>
          <w:rFonts w:cs="Arial"/>
        </w:rPr>
        <w:t>Grundeinteilung) eingeteilt werden (Strassen, Wege, Plätze), wird für die Gebührenerhebung nur die effektiv versiegelte und angeschlossene Fläche als gebührenpflichtige Fläche herangezogen.</w:t>
      </w:r>
    </w:p>
    <w:p w:rsidR="00ED460E" w:rsidRPr="002B7200" w:rsidRDefault="00ED460E" w:rsidP="00ED460E">
      <w:pPr>
        <w:rPr>
          <w:rFonts w:cs="Arial"/>
        </w:rPr>
      </w:pPr>
    </w:p>
    <w:p w:rsidR="00ED460E" w:rsidRPr="002B7200" w:rsidRDefault="00ED460E" w:rsidP="00ED460E">
      <w:pPr>
        <w:tabs>
          <w:tab w:val="left" w:pos="284"/>
          <w:tab w:val="left" w:pos="4536"/>
          <w:tab w:val="left" w:pos="6237"/>
        </w:tabs>
        <w:ind w:left="284" w:hanging="284"/>
        <w:jc w:val="both"/>
        <w:rPr>
          <w:rFonts w:cs="Arial"/>
        </w:rPr>
      </w:pPr>
      <w:r>
        <w:rPr>
          <w:rFonts w:cs="Arial"/>
        </w:rPr>
        <w:t>2</w:t>
      </w:r>
      <w:r w:rsidRPr="002B7200">
        <w:rPr>
          <w:rFonts w:cs="Arial"/>
        </w:rPr>
        <w:tab/>
        <w:t xml:space="preserve">Die an die öffentliche Kanalisation angeschlossenen Strassenparzellen sind grundsätzlich gebührenpflichtig. </w:t>
      </w:r>
    </w:p>
    <w:p w:rsidR="00ED460E" w:rsidRPr="002B7200" w:rsidRDefault="00ED460E" w:rsidP="00ED460E">
      <w:pPr>
        <w:tabs>
          <w:tab w:val="left" w:pos="4536"/>
          <w:tab w:val="left" w:pos="6237"/>
        </w:tabs>
        <w:jc w:val="both"/>
        <w:rPr>
          <w:rFonts w:cs="Arial"/>
          <w:sz w:val="18"/>
        </w:rPr>
      </w:pPr>
    </w:p>
    <w:p w:rsidR="00ED460E" w:rsidRPr="002B7200" w:rsidRDefault="00ED460E" w:rsidP="00ED460E">
      <w:pPr>
        <w:tabs>
          <w:tab w:val="left" w:pos="284"/>
          <w:tab w:val="left" w:pos="4536"/>
          <w:tab w:val="left" w:pos="6237"/>
        </w:tabs>
        <w:ind w:left="284" w:hanging="284"/>
        <w:jc w:val="both"/>
        <w:rPr>
          <w:rFonts w:cs="Arial"/>
        </w:rPr>
      </w:pPr>
      <w:r>
        <w:rPr>
          <w:rFonts w:cs="Arial"/>
        </w:rPr>
        <w:t>3</w:t>
      </w:r>
      <w:r w:rsidRPr="002B7200">
        <w:rPr>
          <w:rFonts w:cs="Arial"/>
        </w:rPr>
        <w:tab/>
      </w:r>
      <w:r w:rsidRPr="002B7200">
        <w:rPr>
          <w:rFonts w:cs="Arial"/>
          <w:b/>
        </w:rPr>
        <w:t>Anschlussgebühr:</w:t>
      </w:r>
      <w:r w:rsidRPr="002B7200">
        <w:rPr>
          <w:rFonts w:cs="Arial"/>
        </w:rPr>
        <w:t xml:space="preserve"> Für alle Strassenparzellen (Kantons-, Gemeinde-, Privatstrassen usw.), welche an die öffentliche Kanalisation angeschlossen werden, ist die Anschlussgebühr geschuldet. </w:t>
      </w:r>
    </w:p>
    <w:p w:rsidR="00ED460E" w:rsidRPr="002B7200" w:rsidRDefault="00ED460E" w:rsidP="00ED460E">
      <w:pPr>
        <w:pStyle w:val="Kopfzeile"/>
        <w:tabs>
          <w:tab w:val="left" w:pos="1418"/>
          <w:tab w:val="left" w:pos="1985"/>
          <w:tab w:val="left" w:pos="2552"/>
          <w:tab w:val="left" w:pos="3402"/>
          <w:tab w:val="left" w:pos="3828"/>
          <w:tab w:val="right" w:pos="4962"/>
          <w:tab w:val="left" w:pos="5245"/>
          <w:tab w:val="left" w:pos="6096"/>
          <w:tab w:val="right" w:pos="6663"/>
          <w:tab w:val="right" w:pos="7371"/>
        </w:tabs>
        <w:spacing w:line="280" w:lineRule="atLeast"/>
        <w:jc w:val="both"/>
        <w:rPr>
          <w:rFonts w:cs="Arial"/>
          <w:sz w:val="18"/>
        </w:rPr>
      </w:pPr>
    </w:p>
    <w:p w:rsidR="00ED460E" w:rsidRPr="002B7200" w:rsidRDefault="00ED460E" w:rsidP="00ED460E">
      <w:pPr>
        <w:tabs>
          <w:tab w:val="left" w:pos="284"/>
          <w:tab w:val="left" w:pos="4536"/>
          <w:tab w:val="left" w:pos="6237"/>
        </w:tabs>
        <w:spacing w:after="120"/>
        <w:ind w:left="284" w:hanging="284"/>
        <w:jc w:val="both"/>
        <w:rPr>
          <w:rFonts w:cs="Arial"/>
        </w:rPr>
      </w:pPr>
      <w:r>
        <w:rPr>
          <w:rFonts w:cs="Arial"/>
        </w:rPr>
        <w:t>4</w:t>
      </w:r>
      <w:r w:rsidRPr="002B7200">
        <w:rPr>
          <w:rFonts w:cs="Arial"/>
        </w:rPr>
        <w:tab/>
      </w:r>
      <w:r w:rsidRPr="002B7200">
        <w:rPr>
          <w:rFonts w:cs="Arial"/>
          <w:b/>
        </w:rPr>
        <w:t>Betriebsgebühr:</w:t>
      </w:r>
      <w:r w:rsidRPr="002B7200">
        <w:rPr>
          <w:rFonts w:cs="Arial"/>
        </w:rPr>
        <w:t xml:space="preserve"> Für die Entwässerung der Kantons- und Gemeindestrassen ist die jährlich wiederkehrende Betriebsgebühr geschuldet. </w:t>
      </w:r>
    </w:p>
    <w:p w:rsidR="00ED460E" w:rsidRPr="002B7200" w:rsidRDefault="00ED460E" w:rsidP="00ED460E">
      <w:pPr>
        <w:tabs>
          <w:tab w:val="left" w:pos="284"/>
          <w:tab w:val="left" w:pos="4536"/>
          <w:tab w:val="left" w:pos="6237"/>
        </w:tabs>
        <w:ind w:left="284" w:hanging="284"/>
        <w:jc w:val="both"/>
        <w:rPr>
          <w:rFonts w:cs="Arial"/>
        </w:rPr>
      </w:pPr>
      <w:r w:rsidRPr="002B7200">
        <w:rPr>
          <w:rFonts w:cs="Arial"/>
        </w:rPr>
        <w:tab/>
        <w:t>Für ausparzellierte Privatstrassen werden aufgrund des unverhältnismässigen Aufwandes für die Verteilung der Gebühren (Perimeter usw.) und der unterschiedlichen Gegebenheiten (Art der Entwässerung, Parzellierung usw.) keine Gebühren erhoben.</w:t>
      </w:r>
    </w:p>
    <w:p w:rsidR="00ED460E" w:rsidRPr="002B7200" w:rsidRDefault="00ED460E" w:rsidP="00ED460E">
      <w:pPr>
        <w:tabs>
          <w:tab w:val="left" w:pos="284"/>
          <w:tab w:val="left" w:pos="4536"/>
          <w:tab w:val="left" w:pos="6237"/>
        </w:tabs>
        <w:ind w:left="284" w:hanging="284"/>
        <w:jc w:val="both"/>
        <w:rPr>
          <w:rFonts w:cs="Arial"/>
        </w:rPr>
      </w:pPr>
      <w:r w:rsidRPr="002B7200">
        <w:rPr>
          <w:rFonts w:cs="Arial"/>
        </w:rPr>
        <w:tab/>
        <w:t xml:space="preserve">Sind Privatstrassen nicht ausparzelliert, werden diese beim betroffenen Grundstück als nicht versiegelte Fläche </w:t>
      </w:r>
      <w:r>
        <w:rPr>
          <w:rFonts w:cs="Arial"/>
        </w:rPr>
        <w:t>beurteilt</w:t>
      </w:r>
      <w:r w:rsidRPr="002B7200">
        <w:rPr>
          <w:rFonts w:cs="Arial"/>
        </w:rPr>
        <w:t>.</w:t>
      </w:r>
    </w:p>
    <w:p w:rsidR="00ED460E" w:rsidRPr="002B7200" w:rsidRDefault="00ED460E" w:rsidP="00ED460E">
      <w:pPr>
        <w:pStyle w:val="Kopfzeile"/>
        <w:tabs>
          <w:tab w:val="left" w:pos="1418"/>
          <w:tab w:val="left" w:pos="1985"/>
          <w:tab w:val="left" w:pos="2552"/>
          <w:tab w:val="left" w:pos="3402"/>
          <w:tab w:val="left" w:pos="3828"/>
          <w:tab w:val="right" w:pos="4962"/>
          <w:tab w:val="left" w:pos="5245"/>
          <w:tab w:val="left" w:pos="6096"/>
          <w:tab w:val="right" w:pos="6663"/>
          <w:tab w:val="right" w:pos="7371"/>
        </w:tabs>
        <w:spacing w:line="280" w:lineRule="atLeast"/>
        <w:jc w:val="both"/>
        <w:rPr>
          <w:rFonts w:cs="Arial"/>
          <w:sz w:val="18"/>
        </w:rPr>
      </w:pPr>
    </w:p>
    <w:p w:rsidR="00ED460E" w:rsidRPr="002B7200" w:rsidRDefault="00ED460E" w:rsidP="00ED460E">
      <w:pPr>
        <w:rPr>
          <w:rFonts w:cs="Arial"/>
        </w:rPr>
      </w:pPr>
    </w:p>
    <w:p w:rsidR="00ED460E" w:rsidRPr="002B7200" w:rsidRDefault="00ED460E" w:rsidP="00DD4B89">
      <w:pPr>
        <w:pStyle w:val="berschrift2"/>
      </w:pPr>
      <w:bookmarkStart w:id="30" w:name="_Toc71123108"/>
      <w:bookmarkStart w:id="31" w:name="_Toc71879421"/>
      <w:r w:rsidRPr="002B7200">
        <w:t xml:space="preserve">Art. </w:t>
      </w:r>
      <w:r>
        <w:t>12</w:t>
      </w:r>
      <w:r w:rsidRPr="002B7200">
        <w:tab/>
        <w:t>Zukauf von Grundstücksflächen</w:t>
      </w:r>
      <w:bookmarkEnd w:id="30"/>
      <w:bookmarkEnd w:id="31"/>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ED460E">
      <w:pPr>
        <w:tabs>
          <w:tab w:val="left" w:pos="284"/>
          <w:tab w:val="left" w:pos="4536"/>
          <w:tab w:val="left" w:pos="6237"/>
        </w:tabs>
        <w:ind w:left="284" w:hanging="284"/>
        <w:jc w:val="both"/>
        <w:rPr>
          <w:rFonts w:cs="Arial"/>
        </w:rPr>
      </w:pPr>
      <w:r w:rsidRPr="002B7200">
        <w:rPr>
          <w:rFonts w:cs="Arial"/>
        </w:rPr>
        <w:t>1</w:t>
      </w:r>
      <w:r w:rsidRPr="002B7200">
        <w:rPr>
          <w:rFonts w:cs="Arial"/>
        </w:rPr>
        <w:tab/>
        <w:t xml:space="preserve">Wird </w:t>
      </w:r>
      <w:r>
        <w:rPr>
          <w:rFonts w:cs="Arial"/>
        </w:rPr>
        <w:t xml:space="preserve">gemäss Art. 21 Abs. 2 AR </w:t>
      </w:r>
      <w:r w:rsidRPr="002B7200">
        <w:rPr>
          <w:rFonts w:cs="Arial"/>
        </w:rPr>
        <w:t xml:space="preserve">bei einem bereits angeschlossenen Grundstück durch eine neue Parzellierung Fläche hinzu geführt, ist die zusätzliche Fläche in die aktualisierte </w:t>
      </w:r>
      <w:r>
        <w:rPr>
          <w:rFonts w:cs="Arial"/>
        </w:rPr>
        <w:t>TZ</w:t>
      </w:r>
      <w:r w:rsidRPr="002B7200">
        <w:rPr>
          <w:rFonts w:cs="Arial"/>
        </w:rPr>
        <w:t xml:space="preserve"> mit einer Anschlussgebühr einzukaufen. Dabei wird die bisherige Einteilung der zugekauften Fläche mitberücksichtigt.</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2</w:t>
      </w:r>
      <w:r w:rsidRPr="002B7200">
        <w:rPr>
          <w:rFonts w:cs="Arial"/>
        </w:rPr>
        <w:tab/>
        <w:t xml:space="preserve">Diese Anschlussgebühr wird mit der neuen Parzellierung (aktueller Gebührensatz) fällig. Falls im aktuellen Zeitpunkt keine bauliche Veränderung realisiert wird, kann die Fälligkeit auf den Zeitpunkt der nächsten Baubewilligung verschoben werden mit dem im betreffenden Zeitpunkt </w:t>
      </w:r>
      <w:r>
        <w:rPr>
          <w:rFonts w:cs="Arial"/>
        </w:rPr>
        <w:t xml:space="preserve">gültigen </w:t>
      </w:r>
      <w:r w:rsidRPr="002B7200">
        <w:rPr>
          <w:rFonts w:cs="Arial"/>
        </w:rPr>
        <w:t>Gebührensatz.</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p>
    <w:p w:rsidR="00ED460E" w:rsidRPr="002B26F1" w:rsidRDefault="00ED460E" w:rsidP="007E45D2">
      <w:pPr>
        <w:pStyle w:val="berschrift2"/>
      </w:pPr>
      <w:bookmarkStart w:id="32" w:name="_Toc71123109"/>
      <w:bookmarkStart w:id="33" w:name="_Toc71879422"/>
      <w:r w:rsidRPr="002B26F1">
        <w:t xml:space="preserve">Art. </w:t>
      </w:r>
      <w:r>
        <w:t>13</w:t>
      </w:r>
      <w:r w:rsidRPr="002B26F1">
        <w:tab/>
        <w:t>Gebührenpflichtige Fläche</w:t>
      </w:r>
      <w:r w:rsidRPr="007E45D2">
        <w:t xml:space="preserve"> </w:t>
      </w:r>
      <w:r w:rsidRPr="002B26F1">
        <w:t>für Ausnahmefälle</w:t>
      </w:r>
      <w:bookmarkEnd w:id="32"/>
      <w:bookmarkEnd w:id="33"/>
    </w:p>
    <w:p w:rsidR="00ED460E" w:rsidRPr="002B26F1" w:rsidRDefault="00ED460E" w:rsidP="00ED460E">
      <w:pPr>
        <w:pStyle w:val="Kopfzeile"/>
        <w:tabs>
          <w:tab w:val="left" w:pos="1418"/>
          <w:tab w:val="left" w:pos="1985"/>
          <w:tab w:val="left" w:pos="2552"/>
          <w:tab w:val="left" w:pos="3402"/>
          <w:tab w:val="left" w:pos="3828"/>
          <w:tab w:val="right" w:pos="4962"/>
          <w:tab w:val="left" w:pos="5245"/>
          <w:tab w:val="left" w:pos="6096"/>
          <w:tab w:val="right" w:pos="6663"/>
          <w:tab w:val="right" w:pos="7371"/>
        </w:tabs>
        <w:spacing w:line="280" w:lineRule="atLeast"/>
        <w:jc w:val="both"/>
        <w:rPr>
          <w:rFonts w:cs="Arial"/>
        </w:rPr>
      </w:pPr>
    </w:p>
    <w:p w:rsidR="00ED460E" w:rsidRPr="002B26F1" w:rsidRDefault="00ED460E" w:rsidP="00243889">
      <w:pPr>
        <w:tabs>
          <w:tab w:val="left" w:pos="284"/>
          <w:tab w:val="left" w:pos="4536"/>
          <w:tab w:val="left" w:pos="6237"/>
        </w:tabs>
        <w:ind w:left="284" w:hanging="284"/>
        <w:rPr>
          <w:rFonts w:cs="Arial"/>
        </w:rPr>
      </w:pPr>
      <w:r>
        <w:rPr>
          <w:rFonts w:cs="Arial"/>
        </w:rPr>
        <w:t>1</w:t>
      </w:r>
      <w:r w:rsidRPr="002B26F1">
        <w:rPr>
          <w:rFonts w:cs="Arial"/>
        </w:rPr>
        <w:tab/>
        <w:t>Teilflächen eines Grundstücks in der Bauzone, welche im Bauzonenplan als Nichtbauzone (z.B. Wald, Landwirtschaftszone) bezeichnet sind, werden nicht als gebührenpflichtige Flächen betrachtet</w:t>
      </w:r>
      <w:r>
        <w:rPr>
          <w:rFonts w:cs="Arial"/>
        </w:rPr>
        <w:t xml:space="preserve"> und von der Grundbuchfläche in Abzug gebracht</w:t>
      </w:r>
      <w:r w:rsidRPr="002B26F1">
        <w:rPr>
          <w:rFonts w:cs="Arial"/>
        </w:rPr>
        <w:t>.</w:t>
      </w:r>
    </w:p>
    <w:p w:rsidR="00ED460E" w:rsidRDefault="00ED460E" w:rsidP="00243889">
      <w:pPr>
        <w:tabs>
          <w:tab w:val="left" w:pos="284"/>
          <w:tab w:val="left" w:pos="4536"/>
          <w:tab w:val="left" w:pos="6237"/>
        </w:tabs>
        <w:ind w:left="284" w:hanging="284"/>
        <w:rPr>
          <w:rFonts w:cs="Arial"/>
        </w:rPr>
      </w:pPr>
    </w:p>
    <w:p w:rsidR="00ED460E" w:rsidRDefault="00ED460E" w:rsidP="00243889">
      <w:pPr>
        <w:tabs>
          <w:tab w:val="left" w:pos="284"/>
          <w:tab w:val="left" w:pos="4536"/>
          <w:tab w:val="left" w:pos="6237"/>
        </w:tabs>
        <w:ind w:left="284" w:hanging="284"/>
        <w:rPr>
          <w:rFonts w:cs="Arial"/>
        </w:rPr>
      </w:pPr>
      <w:r>
        <w:rPr>
          <w:rFonts w:cs="Arial"/>
        </w:rPr>
        <w:t>2</w:t>
      </w:r>
      <w:r w:rsidRPr="002B26F1">
        <w:rPr>
          <w:rFonts w:cs="Arial"/>
        </w:rPr>
        <w:tab/>
        <w:t xml:space="preserve">Die Reduktionsmassnahme gemäss Art. </w:t>
      </w:r>
      <w:r>
        <w:rPr>
          <w:rFonts w:cs="Arial"/>
        </w:rPr>
        <w:t>26</w:t>
      </w:r>
      <w:r w:rsidRPr="002B26F1">
        <w:rPr>
          <w:rFonts w:cs="Arial"/>
        </w:rPr>
        <w:t xml:space="preserve"> Abs. 1 AR betrifft in der Regel nur Grundstücke mit </w:t>
      </w:r>
      <w:r w:rsidRPr="008A6AD1">
        <w:rPr>
          <w:rFonts w:cs="Arial"/>
        </w:rPr>
        <w:t>einer um die gemäss Abs. 1 reduzierte Grundbuchfläche</w:t>
      </w:r>
      <w:r w:rsidRPr="002B26F1">
        <w:rPr>
          <w:rFonts w:cs="Arial"/>
        </w:rPr>
        <w:t xml:space="preserve"> ab 2'000 m</w:t>
      </w:r>
      <w:r w:rsidRPr="002B26F1">
        <w:rPr>
          <w:rFonts w:cs="Arial"/>
          <w:vertAlign w:val="superscript"/>
        </w:rPr>
        <w:t>2</w:t>
      </w:r>
      <w:r w:rsidRPr="002B26F1">
        <w:rPr>
          <w:rFonts w:cs="Arial"/>
        </w:rPr>
        <w:t xml:space="preserve"> und </w:t>
      </w:r>
      <w:r w:rsidRPr="008A6AD1">
        <w:rPr>
          <w:rFonts w:cs="Arial"/>
        </w:rPr>
        <w:t xml:space="preserve">einer um die gemäss Abs. 1 reduzierte Grundbuchfläche </w:t>
      </w:r>
      <w:r w:rsidRPr="002B26F1">
        <w:rPr>
          <w:rFonts w:cs="Arial"/>
        </w:rPr>
        <w:t>von mehr als 300 m² pro Wohneinheit (bzw. Wohnungsäquivalent gemäss Zähler) sowie für sämtliche Grundstücke in der Landwirtschaftszone (LW-Zone). Sie ist als Ausnahmeregelung zur Wahrung der Verhältnismässigkeit zu betrachten.</w:t>
      </w:r>
    </w:p>
    <w:p w:rsidR="00ED460E" w:rsidRDefault="00ED460E" w:rsidP="00243889">
      <w:pPr>
        <w:tabs>
          <w:tab w:val="left" w:pos="284"/>
          <w:tab w:val="left" w:pos="4536"/>
          <w:tab w:val="left" w:pos="6237"/>
        </w:tabs>
        <w:ind w:left="284" w:hanging="284"/>
        <w:rPr>
          <w:rFonts w:cs="Arial"/>
        </w:rPr>
      </w:pPr>
    </w:p>
    <w:p w:rsidR="00ED460E" w:rsidRPr="002B26F1" w:rsidRDefault="00ED460E" w:rsidP="00243889">
      <w:pPr>
        <w:tabs>
          <w:tab w:val="left" w:pos="284"/>
          <w:tab w:val="left" w:pos="4536"/>
          <w:tab w:val="left" w:pos="6237"/>
        </w:tabs>
        <w:ind w:left="284" w:hanging="284"/>
        <w:rPr>
          <w:rFonts w:cs="Arial"/>
        </w:rPr>
      </w:pPr>
      <w:r>
        <w:rPr>
          <w:rFonts w:cs="Arial"/>
        </w:rPr>
        <w:t>3</w:t>
      </w:r>
      <w:r>
        <w:rPr>
          <w:rFonts w:cs="Arial"/>
        </w:rPr>
        <w:tab/>
        <w:t xml:space="preserve">Die Reduktionsmassnahme gemäss Art. 26 Abs. 1 AR </w:t>
      </w:r>
      <w:r w:rsidRPr="001F4F8D">
        <w:rPr>
          <w:rFonts w:cs="Arial"/>
        </w:rPr>
        <w:t>betrifft neben den betroffenen Grundstücken gemäss Abs. 2 auch einseitig bebaute Grundstücke mit einer Grundstücksfläche zwischen 1</w:t>
      </w:r>
      <w:r>
        <w:rPr>
          <w:rFonts w:cs="Arial"/>
        </w:rPr>
        <w:t>’</w:t>
      </w:r>
      <w:r w:rsidRPr="001F4F8D">
        <w:rPr>
          <w:rFonts w:cs="Arial"/>
        </w:rPr>
        <w:t>000</w:t>
      </w:r>
      <w:r>
        <w:rPr>
          <w:rFonts w:cs="Arial"/>
        </w:rPr>
        <w:t xml:space="preserve"> m² </w:t>
      </w:r>
      <w:r w:rsidRPr="001F4F8D">
        <w:rPr>
          <w:rFonts w:cs="Arial"/>
        </w:rPr>
        <w:t xml:space="preserve"> und 2</w:t>
      </w:r>
      <w:r>
        <w:rPr>
          <w:rFonts w:cs="Arial"/>
        </w:rPr>
        <w:t>’</w:t>
      </w:r>
      <w:r w:rsidRPr="001F4F8D">
        <w:rPr>
          <w:rFonts w:cs="Arial"/>
        </w:rPr>
        <w:t>000 m² und einem offensichtlichen noch nicht realisierten Bebauungspotential.</w:t>
      </w:r>
    </w:p>
    <w:p w:rsidR="00ED460E" w:rsidRPr="002B26F1" w:rsidRDefault="00ED460E" w:rsidP="00243889">
      <w:pPr>
        <w:tabs>
          <w:tab w:val="left" w:pos="284"/>
          <w:tab w:val="left" w:pos="4536"/>
          <w:tab w:val="left" w:pos="6237"/>
        </w:tabs>
        <w:ind w:left="284" w:hanging="284"/>
        <w:rPr>
          <w:rFonts w:cs="Arial"/>
        </w:rPr>
      </w:pPr>
    </w:p>
    <w:p w:rsidR="00ED460E" w:rsidRPr="002B26F1" w:rsidRDefault="00ED460E" w:rsidP="00243889">
      <w:pPr>
        <w:tabs>
          <w:tab w:val="left" w:pos="284"/>
          <w:tab w:val="left" w:pos="4536"/>
          <w:tab w:val="left" w:pos="6237"/>
        </w:tabs>
        <w:ind w:left="284" w:hanging="284"/>
        <w:rPr>
          <w:rFonts w:cs="Arial"/>
        </w:rPr>
      </w:pPr>
      <w:r>
        <w:rPr>
          <w:rFonts w:cs="Arial"/>
        </w:rPr>
        <w:t>4</w:t>
      </w:r>
      <w:r w:rsidRPr="002B26F1">
        <w:rPr>
          <w:rFonts w:cs="Arial"/>
        </w:rPr>
        <w:tab/>
        <w:t xml:space="preserve">Für die rechnerische Ermittlung der gebührenpflichtigen Fläche gemäss Abs. </w:t>
      </w:r>
      <w:r>
        <w:rPr>
          <w:rFonts w:cs="Arial"/>
        </w:rPr>
        <w:t>2 und 3</w:t>
      </w:r>
      <w:r w:rsidRPr="002B26F1">
        <w:rPr>
          <w:rFonts w:cs="Arial"/>
        </w:rPr>
        <w:t xml:space="preserve"> wird die Gebäudegrundfläche der angeschlossenen Gebäude durch den Faktor k dividiert. </w:t>
      </w:r>
      <w:r w:rsidRPr="002B26F1">
        <w:rPr>
          <w:rFonts w:cs="Arial"/>
        </w:rPr>
        <w:br/>
        <w:t>Je nach Gebäudenutzung wird ein anderer Faktor k angewendet:</w:t>
      </w:r>
      <w:r w:rsidRPr="002B26F1">
        <w:rPr>
          <w:rFonts w:cs="Arial"/>
        </w:rPr>
        <w:br/>
      </w:r>
    </w:p>
    <w:tbl>
      <w:tblPr>
        <w:tblStyle w:val="Tabellenraste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6895"/>
        <w:gridCol w:w="841"/>
      </w:tblGrid>
      <w:tr w:rsidR="00ED460E" w:rsidRPr="002B26F1" w:rsidTr="00243889">
        <w:tc>
          <w:tcPr>
            <w:tcW w:w="987"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Gruppe</w:t>
            </w:r>
          </w:p>
        </w:tc>
        <w:tc>
          <w:tcPr>
            <w:tcW w:w="6946" w:type="dxa"/>
            <w:tcMar>
              <w:top w:w="28" w:type="dxa"/>
              <w:bottom w:w="28" w:type="dxa"/>
            </w:tcMar>
            <w:vAlign w:val="center"/>
          </w:tcPr>
          <w:p w:rsidR="00ED460E" w:rsidRPr="002B26F1" w:rsidRDefault="00ED460E" w:rsidP="00ED460E">
            <w:pPr>
              <w:tabs>
                <w:tab w:val="left" w:pos="284"/>
                <w:tab w:val="left" w:pos="4536"/>
                <w:tab w:val="left" w:pos="6237"/>
              </w:tabs>
              <w:rPr>
                <w:rFonts w:cs="Arial"/>
              </w:rPr>
            </w:pPr>
            <w:r w:rsidRPr="002B26F1">
              <w:rPr>
                <w:rFonts w:cs="Arial"/>
              </w:rPr>
              <w:t>Gebäudenutzung</w:t>
            </w:r>
          </w:p>
        </w:tc>
        <w:tc>
          <w:tcPr>
            <w:tcW w:w="844"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k =</w:t>
            </w:r>
          </w:p>
        </w:tc>
      </w:tr>
      <w:tr w:rsidR="00ED460E" w:rsidRPr="002B26F1" w:rsidTr="00243889">
        <w:tc>
          <w:tcPr>
            <w:tcW w:w="987"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A</w:t>
            </w:r>
          </w:p>
        </w:tc>
        <w:tc>
          <w:tcPr>
            <w:tcW w:w="6946" w:type="dxa"/>
            <w:tcMar>
              <w:top w:w="28" w:type="dxa"/>
              <w:bottom w:w="28" w:type="dxa"/>
            </w:tcMar>
            <w:vAlign w:val="center"/>
          </w:tcPr>
          <w:p w:rsidR="00ED460E" w:rsidRPr="002B26F1" w:rsidRDefault="00ED460E" w:rsidP="00ED460E">
            <w:pPr>
              <w:tabs>
                <w:tab w:val="left" w:pos="284"/>
                <w:tab w:val="left" w:pos="4536"/>
                <w:tab w:val="left" w:pos="6237"/>
              </w:tabs>
              <w:rPr>
                <w:rFonts w:cs="Arial"/>
              </w:rPr>
            </w:pPr>
            <w:r w:rsidRPr="002B26F1">
              <w:rPr>
                <w:rFonts w:cs="Arial"/>
              </w:rPr>
              <w:t>- überwiegende Wohnnutzung;</w:t>
            </w:r>
          </w:p>
          <w:p w:rsidR="00ED460E" w:rsidRPr="002B26F1" w:rsidRDefault="00ED460E" w:rsidP="00ED460E">
            <w:pPr>
              <w:tabs>
                <w:tab w:val="left" w:pos="284"/>
                <w:tab w:val="left" w:pos="4536"/>
                <w:tab w:val="left" w:pos="6237"/>
              </w:tabs>
              <w:rPr>
                <w:rFonts w:cs="Arial"/>
              </w:rPr>
            </w:pPr>
            <w:r w:rsidRPr="002B26F1">
              <w:rPr>
                <w:rFonts w:cs="Arial"/>
              </w:rPr>
              <w:t>- Dienstleistungsgewerbe (Büro und Verwaltung);</w:t>
            </w:r>
            <w:r w:rsidRPr="002B26F1">
              <w:rPr>
                <w:rFonts w:cs="Arial"/>
              </w:rPr>
              <w:br/>
              <w:t>- Gastronomie, Restaurants, Hotels</w:t>
            </w:r>
          </w:p>
        </w:tc>
        <w:tc>
          <w:tcPr>
            <w:tcW w:w="844"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0.25</w:t>
            </w:r>
          </w:p>
        </w:tc>
      </w:tr>
      <w:tr w:rsidR="00ED460E" w:rsidRPr="002B26F1" w:rsidTr="00243889">
        <w:tc>
          <w:tcPr>
            <w:tcW w:w="987"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B</w:t>
            </w:r>
          </w:p>
        </w:tc>
        <w:tc>
          <w:tcPr>
            <w:tcW w:w="6946" w:type="dxa"/>
            <w:tcMar>
              <w:top w:w="28" w:type="dxa"/>
              <w:bottom w:w="28" w:type="dxa"/>
            </w:tcMar>
            <w:vAlign w:val="center"/>
          </w:tcPr>
          <w:p w:rsidR="00ED460E" w:rsidRPr="002B26F1" w:rsidRDefault="00ED460E" w:rsidP="00ED460E">
            <w:pPr>
              <w:tabs>
                <w:tab w:val="left" w:pos="284"/>
                <w:tab w:val="left" w:pos="4536"/>
                <w:tab w:val="left" w:pos="6237"/>
              </w:tabs>
              <w:rPr>
                <w:rFonts w:cs="Arial"/>
              </w:rPr>
            </w:pPr>
            <w:r w:rsidRPr="002B26F1">
              <w:rPr>
                <w:rFonts w:cs="Arial"/>
              </w:rPr>
              <w:t>- Industrie- und Gewerbehallen;</w:t>
            </w:r>
          </w:p>
          <w:p w:rsidR="00ED460E" w:rsidRPr="002B26F1" w:rsidRDefault="00ED460E" w:rsidP="00ED460E">
            <w:pPr>
              <w:tabs>
                <w:tab w:val="left" w:pos="284"/>
                <w:tab w:val="left" w:pos="4536"/>
                <w:tab w:val="left" w:pos="6237"/>
              </w:tabs>
              <w:rPr>
                <w:rFonts w:cs="Arial"/>
              </w:rPr>
            </w:pPr>
            <w:r w:rsidRPr="002B26F1">
              <w:rPr>
                <w:rFonts w:cs="Arial"/>
              </w:rPr>
              <w:t>- Schulanlagen mit Sporthallen, Mehrzweckhallen;</w:t>
            </w:r>
          </w:p>
          <w:p w:rsidR="00ED460E" w:rsidRPr="002B26F1" w:rsidRDefault="00ED460E" w:rsidP="00ED460E">
            <w:pPr>
              <w:tabs>
                <w:tab w:val="left" w:pos="284"/>
                <w:tab w:val="left" w:pos="4536"/>
                <w:tab w:val="left" w:pos="6237"/>
              </w:tabs>
              <w:rPr>
                <w:rFonts w:cs="Arial"/>
              </w:rPr>
            </w:pPr>
            <w:r w:rsidRPr="002B26F1">
              <w:rPr>
                <w:rFonts w:cs="Arial"/>
              </w:rPr>
              <w:t>- Kirchen</w:t>
            </w:r>
          </w:p>
        </w:tc>
        <w:tc>
          <w:tcPr>
            <w:tcW w:w="844"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0.50</w:t>
            </w:r>
          </w:p>
        </w:tc>
      </w:tr>
      <w:tr w:rsidR="00ED460E" w:rsidRPr="002B26F1" w:rsidTr="00243889">
        <w:tc>
          <w:tcPr>
            <w:tcW w:w="987"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C</w:t>
            </w:r>
          </w:p>
        </w:tc>
        <w:tc>
          <w:tcPr>
            <w:tcW w:w="6946" w:type="dxa"/>
            <w:tcMar>
              <w:top w:w="28" w:type="dxa"/>
              <w:bottom w:w="28" w:type="dxa"/>
            </w:tcMar>
            <w:vAlign w:val="center"/>
          </w:tcPr>
          <w:p w:rsidR="00ED460E" w:rsidRPr="002B26F1" w:rsidRDefault="00ED460E" w:rsidP="00ED460E">
            <w:pPr>
              <w:tabs>
                <w:tab w:val="left" w:pos="284"/>
                <w:tab w:val="left" w:pos="4536"/>
                <w:tab w:val="left" w:pos="6237"/>
              </w:tabs>
              <w:rPr>
                <w:rFonts w:cs="Arial"/>
              </w:rPr>
            </w:pPr>
            <w:r w:rsidRPr="002B26F1">
              <w:rPr>
                <w:rFonts w:cs="Arial"/>
              </w:rPr>
              <w:t>- Gebäude in der Landwirtschaftszone;</w:t>
            </w:r>
          </w:p>
          <w:p w:rsidR="00ED460E" w:rsidRPr="002B26F1" w:rsidRDefault="00ED460E" w:rsidP="00ED460E">
            <w:pPr>
              <w:tabs>
                <w:tab w:val="left" w:pos="284"/>
                <w:tab w:val="left" w:pos="4536"/>
                <w:tab w:val="left" w:pos="6237"/>
              </w:tabs>
              <w:rPr>
                <w:rFonts w:cs="Arial"/>
              </w:rPr>
            </w:pPr>
            <w:r w:rsidRPr="002B26F1">
              <w:rPr>
                <w:rFonts w:cs="Arial"/>
              </w:rPr>
              <w:t>- Kleinbauten, Garagen usw.</w:t>
            </w:r>
          </w:p>
        </w:tc>
        <w:tc>
          <w:tcPr>
            <w:tcW w:w="844" w:type="dxa"/>
            <w:tcMar>
              <w:top w:w="28" w:type="dxa"/>
              <w:bottom w:w="28" w:type="dxa"/>
            </w:tcMar>
            <w:vAlign w:val="center"/>
          </w:tcPr>
          <w:p w:rsidR="00ED460E" w:rsidRPr="002B26F1" w:rsidRDefault="00ED460E" w:rsidP="00ED460E">
            <w:pPr>
              <w:tabs>
                <w:tab w:val="left" w:pos="284"/>
                <w:tab w:val="left" w:pos="4536"/>
                <w:tab w:val="left" w:pos="6237"/>
              </w:tabs>
              <w:jc w:val="center"/>
              <w:rPr>
                <w:rFonts w:cs="Arial"/>
              </w:rPr>
            </w:pPr>
            <w:r w:rsidRPr="002B26F1">
              <w:rPr>
                <w:rFonts w:cs="Arial"/>
              </w:rPr>
              <w:t>0.70</w:t>
            </w:r>
          </w:p>
        </w:tc>
      </w:tr>
    </w:tbl>
    <w:p w:rsidR="00ED460E" w:rsidRPr="002B26F1" w:rsidRDefault="00ED460E" w:rsidP="00ED460E">
      <w:pPr>
        <w:tabs>
          <w:tab w:val="left" w:pos="284"/>
          <w:tab w:val="left" w:pos="4536"/>
          <w:tab w:val="left" w:pos="6237"/>
        </w:tabs>
        <w:ind w:left="284" w:hanging="284"/>
        <w:jc w:val="both"/>
        <w:rPr>
          <w:rFonts w:cs="Arial"/>
        </w:rPr>
      </w:pPr>
    </w:p>
    <w:p w:rsidR="00ED460E" w:rsidRPr="002B7200" w:rsidRDefault="00ED460E" w:rsidP="00243889">
      <w:pPr>
        <w:tabs>
          <w:tab w:val="left" w:pos="284"/>
          <w:tab w:val="left" w:pos="4536"/>
          <w:tab w:val="left" w:pos="6237"/>
        </w:tabs>
        <w:ind w:left="284" w:hanging="284"/>
        <w:rPr>
          <w:rFonts w:cs="Arial"/>
        </w:rPr>
      </w:pPr>
      <w:r>
        <w:rPr>
          <w:rFonts w:cs="Arial"/>
        </w:rPr>
        <w:t>5</w:t>
      </w:r>
      <w:r w:rsidRPr="002B26F1">
        <w:rPr>
          <w:rFonts w:cs="Arial"/>
        </w:rPr>
        <w:tab/>
        <w:t>Steigt der Versiegelungsgrad aufgrund der Abweichung der gebührenpflichtigen Fläche von der Grundbuchfläche auf über 100</w:t>
      </w:r>
      <w:r>
        <w:rPr>
          <w:rFonts w:cs="Arial"/>
        </w:rPr>
        <w:t xml:space="preserve"> </w:t>
      </w:r>
      <w:r w:rsidRPr="002B26F1">
        <w:rPr>
          <w:rFonts w:cs="Arial"/>
        </w:rPr>
        <w:t xml:space="preserve">%, wird die überschüssige regenwasserrelevante Fläche in eine separate Teilparzelle in die </w:t>
      </w:r>
      <w:r>
        <w:rPr>
          <w:rFonts w:cs="Arial"/>
        </w:rPr>
        <w:t>TZ </w:t>
      </w:r>
      <w:r w:rsidRPr="002B26F1">
        <w:rPr>
          <w:rFonts w:cs="Arial"/>
        </w:rPr>
        <w:t xml:space="preserve">10, bzw. bei einer Ableitung über eine genügende Retention in die </w:t>
      </w:r>
      <w:r>
        <w:rPr>
          <w:rFonts w:cs="Arial"/>
        </w:rPr>
        <w:t>TZ </w:t>
      </w:r>
      <w:r w:rsidRPr="002B26F1">
        <w:rPr>
          <w:rFonts w:cs="Arial"/>
        </w:rPr>
        <w:t>1 eingeteilt.</w:t>
      </w:r>
    </w:p>
    <w:p w:rsidR="00ED460E" w:rsidRPr="002B26F1" w:rsidRDefault="00ED460E" w:rsidP="00243889">
      <w:pPr>
        <w:tabs>
          <w:tab w:val="left" w:pos="284"/>
          <w:tab w:val="left" w:pos="4536"/>
          <w:tab w:val="left" w:pos="6237"/>
        </w:tabs>
        <w:ind w:left="284" w:hanging="284"/>
        <w:rPr>
          <w:rFonts w:cs="Arial"/>
        </w:rPr>
      </w:pPr>
    </w:p>
    <w:p w:rsidR="00ED460E" w:rsidRDefault="00ED460E" w:rsidP="00243889">
      <w:pPr>
        <w:tabs>
          <w:tab w:val="left" w:pos="284"/>
          <w:tab w:val="left" w:pos="4536"/>
          <w:tab w:val="left" w:pos="6237"/>
        </w:tabs>
        <w:ind w:left="284" w:hanging="284"/>
        <w:rPr>
          <w:rFonts w:cs="Arial"/>
        </w:rPr>
      </w:pPr>
      <w:r>
        <w:rPr>
          <w:rFonts w:cs="Arial"/>
        </w:rPr>
        <w:t>6</w:t>
      </w:r>
      <w:r w:rsidRPr="002B26F1">
        <w:rPr>
          <w:rFonts w:cs="Arial"/>
        </w:rPr>
        <w:tab/>
        <w:t xml:space="preserve">Die Aufteilung in Teilgrundstücke gemäss Art. </w:t>
      </w:r>
      <w:r>
        <w:rPr>
          <w:rFonts w:cs="Arial"/>
        </w:rPr>
        <w:t>26</w:t>
      </w:r>
      <w:r w:rsidRPr="002B26F1">
        <w:rPr>
          <w:rFonts w:cs="Arial"/>
        </w:rPr>
        <w:t xml:space="preserve"> Abs. 2 AR wird in der Regel nur bei Grundstücken </w:t>
      </w:r>
      <w:r w:rsidRPr="008A6AD1">
        <w:rPr>
          <w:rFonts w:cs="Arial"/>
        </w:rPr>
        <w:t xml:space="preserve">mit einer um die gemäss Abs. 1 reduzierte Grundbuchfläche </w:t>
      </w:r>
      <w:r w:rsidRPr="002B26F1">
        <w:rPr>
          <w:rFonts w:cs="Arial"/>
        </w:rPr>
        <w:t>ab 2'000 m² vorgenommen.</w:t>
      </w:r>
      <w:r>
        <w:rPr>
          <w:rFonts w:cs="Arial"/>
        </w:rPr>
        <w:t xml:space="preserve"> </w:t>
      </w:r>
    </w:p>
    <w:p w:rsidR="00ED460E" w:rsidRDefault="00ED460E" w:rsidP="00243889">
      <w:pPr>
        <w:tabs>
          <w:tab w:val="left" w:pos="284"/>
          <w:tab w:val="left" w:pos="4536"/>
          <w:tab w:val="left" w:pos="6237"/>
        </w:tabs>
        <w:ind w:left="284" w:hanging="284"/>
        <w:rPr>
          <w:rFonts w:cs="Arial"/>
        </w:rPr>
      </w:pPr>
    </w:p>
    <w:p w:rsidR="00ED460E" w:rsidRPr="002B26F1" w:rsidRDefault="00ED460E" w:rsidP="00ED460E">
      <w:pPr>
        <w:tabs>
          <w:tab w:val="left" w:pos="284"/>
          <w:tab w:val="left" w:pos="4536"/>
          <w:tab w:val="left" w:pos="6237"/>
        </w:tabs>
        <w:ind w:left="284" w:hanging="284"/>
        <w:jc w:val="both"/>
        <w:rPr>
          <w:rFonts w:cs="Arial"/>
        </w:rPr>
      </w:pPr>
      <w:r>
        <w:rPr>
          <w:rFonts w:cs="Arial"/>
        </w:rPr>
        <w:lastRenderedPageBreak/>
        <w:t>7</w:t>
      </w:r>
      <w:r>
        <w:rPr>
          <w:rFonts w:cs="Arial"/>
        </w:rPr>
        <w:tab/>
        <w:t>Die gemeinsame Betrachtung mehrerer Grundstücke gemäss Art. 26 Abs. 3 AR ist als Ausnahmeregel zu betrachten und wird angewandt, wenn sich ein Gebäudekomplex über mehrere Grundstücke erstreckt.</w:t>
      </w:r>
    </w:p>
    <w:p w:rsidR="00ED460E" w:rsidRDefault="00ED460E" w:rsidP="00ED460E">
      <w:pPr>
        <w:tabs>
          <w:tab w:val="left" w:pos="284"/>
          <w:tab w:val="left" w:pos="4536"/>
          <w:tab w:val="left" w:pos="6237"/>
        </w:tabs>
        <w:ind w:left="284" w:hanging="284"/>
        <w:jc w:val="both"/>
        <w:rPr>
          <w:rFonts w:cs="Arial"/>
        </w:rPr>
      </w:pPr>
    </w:p>
    <w:p w:rsidR="00ED460E" w:rsidRPr="002B7200" w:rsidRDefault="00ED460E" w:rsidP="00ED460E">
      <w:pPr>
        <w:rPr>
          <w:rFonts w:cs="Arial"/>
        </w:rPr>
      </w:pPr>
    </w:p>
    <w:p w:rsidR="00ED460E" w:rsidRPr="002B7200" w:rsidRDefault="00ED460E" w:rsidP="007E45D2">
      <w:pPr>
        <w:pStyle w:val="berschrift2"/>
      </w:pPr>
      <w:bookmarkStart w:id="34" w:name="_Toc71123110"/>
      <w:bookmarkStart w:id="35" w:name="_Toc71879423"/>
      <w:r w:rsidRPr="002B7200">
        <w:t xml:space="preserve">Art. </w:t>
      </w:r>
      <w:r>
        <w:t>14</w:t>
      </w:r>
      <w:r>
        <w:tab/>
      </w:r>
      <w:r w:rsidRPr="002B7200">
        <w:t>Anschlussgebühren für mitprofitierende Flächen</w:t>
      </w:r>
      <w:bookmarkEnd w:id="34"/>
      <w:bookmarkEnd w:id="35"/>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1</w:t>
      </w:r>
      <w:r w:rsidRPr="002B7200">
        <w:rPr>
          <w:rFonts w:cs="Arial"/>
        </w:rPr>
        <w:tab/>
        <w:t xml:space="preserve">Gemäss Art. </w:t>
      </w:r>
      <w:r>
        <w:rPr>
          <w:rFonts w:cs="Arial"/>
        </w:rPr>
        <w:t>22</w:t>
      </w:r>
      <w:r w:rsidRPr="002B7200">
        <w:rPr>
          <w:rFonts w:cs="Arial"/>
        </w:rPr>
        <w:t xml:space="preserve"> Abs. </w:t>
      </w:r>
      <w:r>
        <w:rPr>
          <w:rFonts w:cs="Arial"/>
        </w:rPr>
        <w:t xml:space="preserve">3 AR </w:t>
      </w:r>
      <w:r w:rsidRPr="002B7200">
        <w:rPr>
          <w:rFonts w:cs="Arial"/>
        </w:rPr>
        <w:t xml:space="preserve">kann von einem Grundstück oder Teilgrundstück mit mitprofitierenden Flächen bei einer baulichen Veränderung eine Anschlussgebühr fällig werden. </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2</w:t>
      </w:r>
      <w:r w:rsidRPr="002B7200">
        <w:rPr>
          <w:rFonts w:cs="Arial"/>
        </w:rPr>
        <w:tab/>
        <w:t>Anschlussgebühren bei mitprofitierenden Flächen werden erhoben, wenn bei einem Grundstück mit einer Grundbuchfläche ab 1'000 m</w:t>
      </w:r>
      <w:r w:rsidRPr="002B7200">
        <w:rPr>
          <w:rFonts w:cs="Arial"/>
          <w:vertAlign w:val="superscript"/>
        </w:rPr>
        <w:t>2</w:t>
      </w:r>
      <w:r w:rsidRPr="002B7200">
        <w:rPr>
          <w:rFonts w:cs="Arial"/>
        </w:rPr>
        <w:t xml:space="preserve"> ein Neu- oder Anbau von mehr als 40 m</w:t>
      </w:r>
      <w:r w:rsidRPr="002B7200">
        <w:rPr>
          <w:rFonts w:cs="Arial"/>
          <w:vertAlign w:val="superscript"/>
        </w:rPr>
        <w:t>2</w:t>
      </w:r>
      <w:r w:rsidRPr="002B7200">
        <w:rPr>
          <w:rFonts w:cs="Arial"/>
        </w:rPr>
        <w:t xml:space="preserve"> Grundfläche erstellt wird, welcher weder zu einer </w:t>
      </w:r>
      <w:r>
        <w:rPr>
          <w:rFonts w:cs="Arial"/>
        </w:rPr>
        <w:t>Erhöhung der TZ</w:t>
      </w:r>
      <w:r w:rsidRPr="002B7200">
        <w:rPr>
          <w:rFonts w:cs="Arial"/>
        </w:rPr>
        <w:t xml:space="preserve"> noch zu einer Vergrösserung der gebührenpflichtigen Fläche führt.</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3</w:t>
      </w:r>
      <w:r w:rsidRPr="002B7200">
        <w:rPr>
          <w:rFonts w:cs="Arial"/>
        </w:rPr>
        <w:tab/>
        <w:t>Bei Grundstücken, von welchen bereits Anschlussgebühren aufgrund des Tarifzonensystems erhoben wurden, wird basierend auf mitprofitierenden Flächen keine Anschlussgebühr erhoben.</w:t>
      </w: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7E45D2">
      <w:pPr>
        <w:pStyle w:val="berschrift2"/>
      </w:pPr>
      <w:bookmarkStart w:id="36" w:name="_Toc71123111"/>
      <w:bookmarkStart w:id="37" w:name="_Toc71879424"/>
      <w:r w:rsidRPr="002B7200">
        <w:t xml:space="preserve">Art. </w:t>
      </w:r>
      <w:r>
        <w:t>15</w:t>
      </w:r>
      <w:r w:rsidRPr="002B7200">
        <w:tab/>
        <w:t xml:space="preserve">Regenwasserentsorgung ausserhalb </w:t>
      </w:r>
      <w:r w:rsidR="009862DE">
        <w:t xml:space="preserve">des </w:t>
      </w:r>
      <w:r w:rsidRPr="002B7200">
        <w:t>Siedlungsgebiet</w:t>
      </w:r>
      <w:bookmarkEnd w:id="36"/>
      <w:bookmarkEnd w:id="37"/>
      <w:r w:rsidR="009862DE">
        <w:t>s</w:t>
      </w:r>
    </w:p>
    <w:p w:rsidR="00ED460E" w:rsidRPr="002B7200" w:rsidRDefault="00ED460E" w:rsidP="00ED460E">
      <w:pPr>
        <w:pStyle w:val="Kopfzeile"/>
        <w:tabs>
          <w:tab w:val="left" w:pos="1418"/>
          <w:tab w:val="left" w:pos="1985"/>
          <w:tab w:val="left" w:pos="2552"/>
          <w:tab w:val="left" w:pos="3402"/>
          <w:tab w:val="left" w:pos="3828"/>
          <w:tab w:val="right" w:pos="4962"/>
          <w:tab w:val="left" w:pos="5245"/>
          <w:tab w:val="left" w:pos="6096"/>
          <w:tab w:val="right" w:pos="6663"/>
          <w:tab w:val="right" w:pos="7371"/>
        </w:tabs>
        <w:spacing w:line="280" w:lineRule="atLeast"/>
        <w:jc w:val="both"/>
        <w:rPr>
          <w:rFonts w:cs="Arial"/>
        </w:rPr>
      </w:pPr>
    </w:p>
    <w:p w:rsidR="00ED460E" w:rsidRPr="002B7200" w:rsidRDefault="00ED460E" w:rsidP="00243889">
      <w:pPr>
        <w:tabs>
          <w:tab w:val="left" w:pos="284"/>
          <w:tab w:val="left" w:pos="4536"/>
          <w:tab w:val="left" w:pos="6237"/>
        </w:tabs>
        <w:ind w:left="284" w:hanging="284"/>
        <w:rPr>
          <w:rFonts w:cs="Arial"/>
        </w:rPr>
      </w:pPr>
      <w:r>
        <w:rPr>
          <w:rFonts w:cs="Arial"/>
        </w:rPr>
        <w:t>1</w:t>
      </w:r>
      <w:r w:rsidRPr="002B7200">
        <w:rPr>
          <w:rFonts w:cs="Arial"/>
        </w:rPr>
        <w:tab/>
        <w:t xml:space="preserve">Grundstücke ausserhalb des Siedlungsgebietes (landwirtschaftliche Betriebe usw.), von welchen lediglich Regenwasser in eine öffentliche Kanalisation eingeleitet wird, werden für die </w:t>
      </w:r>
      <w:r>
        <w:rPr>
          <w:rFonts w:cs="Arial"/>
        </w:rPr>
        <w:t>Tarifzonen-</w:t>
      </w:r>
      <w:r w:rsidRPr="002B7200">
        <w:rPr>
          <w:rFonts w:cs="Arial"/>
        </w:rPr>
        <w:t xml:space="preserve">Grundeinteilung in die </w:t>
      </w:r>
      <w:r>
        <w:rPr>
          <w:rFonts w:cs="Arial"/>
        </w:rPr>
        <w:t>TZ</w:t>
      </w:r>
      <w:r w:rsidRPr="002B7200">
        <w:rPr>
          <w:rFonts w:cs="Arial"/>
        </w:rPr>
        <w:t xml:space="preserve"> 2 eingeteilt.</w:t>
      </w:r>
      <w:r>
        <w:rPr>
          <w:rFonts w:cs="Arial"/>
        </w:rPr>
        <w:t xml:space="preserve"> Diese wird aufgrund des sich ergebenden Versiegelungsgrads gemäss Art. 8 Abs. 2 korrigiert.</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Pr>
          <w:rFonts w:cs="Arial"/>
        </w:rPr>
        <w:t>2</w:t>
      </w:r>
      <w:r w:rsidRPr="002B7200">
        <w:rPr>
          <w:rFonts w:cs="Arial"/>
        </w:rPr>
        <w:tab/>
        <w:t>Für die im Abs. 2 betroffenen Grundstücke wird eine fiktive Parzellengrösse herangezogen, welche der Summe der angeschlossenen Flächen entspricht, jedoch mindestens 600 m</w:t>
      </w:r>
      <w:r w:rsidRPr="002B7200">
        <w:rPr>
          <w:rFonts w:cs="Arial"/>
          <w:vertAlign w:val="superscript"/>
        </w:rPr>
        <w:t>2</w:t>
      </w:r>
      <w:r w:rsidRPr="002B7200">
        <w:rPr>
          <w:rFonts w:cs="Arial"/>
        </w:rPr>
        <w:t>.</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Pr>
          <w:rFonts w:cs="Arial"/>
        </w:rPr>
        <w:t>3</w:t>
      </w:r>
      <w:r w:rsidRPr="002B7200">
        <w:rPr>
          <w:rFonts w:cs="Arial"/>
        </w:rPr>
        <w:tab/>
        <w:t>Als öffentliche Kanalisation gelten neben den gemeindeeigenen Schmutz-, Regen- und Mischwasserleitungen auch die Strassenentwässerungsleitungen von Gemeinde- und Kantonsstrassen.</w:t>
      </w: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7E45D2">
      <w:pPr>
        <w:pStyle w:val="berschrift2"/>
      </w:pPr>
      <w:bookmarkStart w:id="38" w:name="_Toc71123112"/>
      <w:bookmarkStart w:id="39" w:name="_Toc71879425"/>
      <w:r w:rsidRPr="002B7200">
        <w:t xml:space="preserve">Art. </w:t>
      </w:r>
      <w:r>
        <w:t>16</w:t>
      </w:r>
      <w:r w:rsidRPr="002B7200">
        <w:tab/>
        <w:t>Übernahme des Unterhalts privater Sammelleitungen</w:t>
      </w:r>
      <w:bookmarkEnd w:id="38"/>
      <w:bookmarkEnd w:id="39"/>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243889">
      <w:pPr>
        <w:tabs>
          <w:tab w:val="left" w:pos="284"/>
          <w:tab w:val="left" w:pos="4536"/>
          <w:tab w:val="left" w:pos="6237"/>
        </w:tabs>
        <w:spacing w:after="120"/>
        <w:ind w:left="284" w:hanging="284"/>
        <w:rPr>
          <w:rFonts w:cs="Arial"/>
        </w:rPr>
      </w:pPr>
      <w:r w:rsidRPr="002B7200">
        <w:rPr>
          <w:rFonts w:cs="Arial"/>
        </w:rPr>
        <w:t>1</w:t>
      </w:r>
      <w:r w:rsidRPr="002B7200">
        <w:rPr>
          <w:rFonts w:cs="Arial"/>
        </w:rPr>
        <w:tab/>
        <w:t xml:space="preserve">Gestützt auf Art. </w:t>
      </w:r>
      <w:r>
        <w:rPr>
          <w:rFonts w:cs="Arial"/>
        </w:rPr>
        <w:t xml:space="preserve">15 AR </w:t>
      </w:r>
      <w:r w:rsidRPr="002B7200">
        <w:rPr>
          <w:rFonts w:cs="Arial"/>
        </w:rPr>
        <w:t xml:space="preserve">übernimmt die </w:t>
      </w:r>
      <w:r>
        <w:rPr>
          <w:rFonts w:cs="Arial"/>
        </w:rPr>
        <w:t>Einwohnergemeinde</w:t>
      </w:r>
      <w:r w:rsidRPr="002B7200">
        <w:rPr>
          <w:rFonts w:cs="Arial"/>
        </w:rPr>
        <w:t xml:space="preserve"> die privaten Sammelleitungen in den betrieblichen </w:t>
      </w:r>
      <w:r>
        <w:rPr>
          <w:rFonts w:cs="Arial"/>
        </w:rPr>
        <w:t xml:space="preserve">Unterhalt </w:t>
      </w:r>
      <w:r w:rsidRPr="002B7200">
        <w:rPr>
          <w:rFonts w:cs="Arial"/>
        </w:rPr>
        <w:t>(Wartungs- und Reinigungsarbeiten sowie Zustandsuntersuchungen) und baulichen Unterhalt (Reparatur, Renovierung, Erneuerung) und finanziert die dafür entstehenden Kosten über Gebühreneinnahmen. Vorbehalten bleibt die Erfüllung der nachfolgenden Voraussetzungen:</w:t>
      </w:r>
    </w:p>
    <w:p w:rsidR="00ED460E" w:rsidRPr="006733C6"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6733C6">
        <w:rPr>
          <w:rFonts w:cs="Arial"/>
          <w:lang w:val="de-CH"/>
        </w:rPr>
        <w:t xml:space="preserve">In den Unterhalt übernommen werden private Leitungen, welche mindestens zwei voneinander unabhängige Grundstücke erschliessen und damit der Y-Regel unterstehen bis und mit Vereinigungsschacht. Nicht übernommen werden die Anschlussleitungen von Gebäuden bis zum Vereinigungsschacht. </w:t>
      </w:r>
    </w:p>
    <w:p w:rsidR="00ED460E" w:rsidRPr="002B7200"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2B7200">
        <w:rPr>
          <w:rFonts w:cs="Arial"/>
          <w:lang w:val="de-CH"/>
        </w:rPr>
        <w:t>Den Zeitpunkt für die Ausführung von Unterhaltsmassnahmen bestimmt die Gemeinde.</w:t>
      </w:r>
    </w:p>
    <w:p w:rsidR="00ED460E" w:rsidRPr="002B7200"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lastRenderedPageBreak/>
        <w:tab/>
      </w:r>
      <w:r w:rsidRPr="002B7200">
        <w:rPr>
          <w:rFonts w:cs="Arial"/>
          <w:lang w:val="de-CH"/>
        </w:rPr>
        <w:t xml:space="preserve">Über die Übernahme von zentralen privaten Retentionsanlagen in den betrieblichen und/oder baulichen Unterhalt der </w:t>
      </w:r>
      <w:r>
        <w:rPr>
          <w:rFonts w:cs="Arial"/>
          <w:lang w:val="de-CH"/>
        </w:rPr>
        <w:t>Einwohnergemeinde</w:t>
      </w:r>
      <w:r w:rsidRPr="002B7200">
        <w:rPr>
          <w:rFonts w:cs="Arial"/>
          <w:lang w:val="de-CH"/>
        </w:rPr>
        <w:t xml:space="preserve"> entscheidet der Gemeinderat unter Berücksichtigung der öffentlichen Interessen. Private Pumpwerke werden nicht übernommen.</w:t>
      </w:r>
    </w:p>
    <w:p w:rsidR="00ED460E" w:rsidRPr="002B7200"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2B7200">
        <w:rPr>
          <w:rFonts w:cs="Arial"/>
          <w:lang w:val="de-CH"/>
        </w:rPr>
        <w:t>Leitungen, welche zwei zusammengehörende Grundstücke erschliessen, wie beispielsweise ein Gewerbe- / Industriebetrieb auf mehreren Liegenschaften, werden wie eine Hausanschlussleitung zu einem einzelnen Grundstück beurteilt und folglich nicht in den Unterhalt übernommen. Das Gleiche gilt für Leitungen, welche Grundstücke mit Stockwerkeigentum erschliessen.</w:t>
      </w:r>
    </w:p>
    <w:p w:rsidR="00ED460E" w:rsidRPr="002B7200"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2B7200">
        <w:rPr>
          <w:rFonts w:cs="Arial"/>
          <w:lang w:val="de-CH"/>
        </w:rPr>
        <w:t>Entwässerungsleitungen von Güterstrassen, Sickerleitungen, eingedeckte Gewässer und Drainageleitungen</w:t>
      </w:r>
      <w:r w:rsidRPr="006733C6">
        <w:rPr>
          <w:rFonts w:cs="Arial"/>
          <w:lang w:val="de-CH"/>
        </w:rPr>
        <w:t xml:space="preserve"> </w:t>
      </w:r>
      <w:r w:rsidRPr="002B7200">
        <w:rPr>
          <w:rFonts w:cs="Arial"/>
          <w:lang w:val="de-CH"/>
        </w:rPr>
        <w:t xml:space="preserve">sowie Leitungen, welche grossmehrheitlich der Strassenentwässerung dienen, werden nicht übernommen. </w:t>
      </w:r>
    </w:p>
    <w:p w:rsidR="00ED460E" w:rsidRPr="002B7200"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2B7200">
        <w:rPr>
          <w:rFonts w:cs="Arial"/>
          <w:lang w:val="de-CH"/>
        </w:rPr>
        <w:t xml:space="preserve">Leitungen, welche Grundstücke ausserhalb des Siedlungsgebiets erschliessen, werden nicht übernommen. </w:t>
      </w:r>
    </w:p>
    <w:p w:rsidR="00ED460E" w:rsidRPr="00275A69"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2B7200">
        <w:rPr>
          <w:rFonts w:cs="Arial"/>
          <w:lang w:val="de-CH"/>
        </w:rPr>
        <w:t xml:space="preserve">Grundsätzlich werden beim Unterhalt von privat erstellten Sammelleitungen durch die </w:t>
      </w:r>
      <w:r>
        <w:rPr>
          <w:rFonts w:cs="Arial"/>
          <w:lang w:val="de-CH"/>
        </w:rPr>
        <w:t>Einwohnergemeinde</w:t>
      </w:r>
      <w:r w:rsidRPr="002B7200">
        <w:rPr>
          <w:rFonts w:cs="Arial"/>
          <w:lang w:val="de-CH"/>
        </w:rPr>
        <w:t xml:space="preserve"> keine Mehrkosten getragen, welche über das übliche Mass hinausgehen. Diese sind beispielsweise die Behebung von optischen Mängeln infolge der Sanierungsarbeiten, die Entfernung und Erneuerung von Plätzen, Pflanzen, Gartenanlagen, Treppen, die Überwindung übermässiger Aufschüttungen usw. Es werden keine Entschädigungen an die Grund- und Gebäudeeigentümer entrichtet.</w:t>
      </w:r>
    </w:p>
    <w:p w:rsidR="00ED460E" w:rsidRPr="002B7200" w:rsidRDefault="00ED460E" w:rsidP="00243889">
      <w:pPr>
        <w:pStyle w:val="Listenabsatz"/>
        <w:numPr>
          <w:ilvl w:val="0"/>
          <w:numId w:val="10"/>
        </w:numPr>
        <w:tabs>
          <w:tab w:val="left" w:pos="567"/>
          <w:tab w:val="left" w:pos="4536"/>
          <w:tab w:val="left" w:pos="6237"/>
        </w:tabs>
        <w:spacing w:after="120" w:line="280" w:lineRule="atLeast"/>
        <w:ind w:left="714" w:hanging="357"/>
        <w:contextualSpacing w:val="0"/>
        <w:rPr>
          <w:rFonts w:cs="Arial"/>
          <w:lang w:val="de-CH"/>
        </w:rPr>
      </w:pPr>
      <w:r>
        <w:rPr>
          <w:rFonts w:cs="Arial"/>
          <w:lang w:val="de-CH"/>
        </w:rPr>
        <w:tab/>
      </w:r>
      <w:r w:rsidRPr="002B7200">
        <w:rPr>
          <w:rFonts w:cs="Arial"/>
          <w:lang w:val="de-CH"/>
        </w:rPr>
        <w:t xml:space="preserve">Bei Leitungen mit bestehenden, konstruktiven oder technischen Mängeln, wie beispielsweise falsche Wahl der Leitungsstatik, zu geringes Gefälle, zu kleine oder fehlende Sanierungsschächte, zu geringe Leitungsquerschnitte, zu geringe Verlegungstiefe sowie bei anderen aussergewöhnlichen Lasten wie beispielsweise erschwertem Zugang, Verlegung unter Bauten, Verlegung nahe an Bauten oder bei absehbaren Mehrkosten gemäss </w:t>
      </w:r>
      <w:r w:rsidRPr="00AA6A69">
        <w:rPr>
          <w:rFonts w:cs="Arial"/>
          <w:lang w:val="de-CH"/>
        </w:rPr>
        <w:t>lit. g., kann</w:t>
      </w:r>
      <w:r w:rsidRPr="002B7200">
        <w:rPr>
          <w:rFonts w:cs="Arial"/>
          <w:lang w:val="de-CH"/>
        </w:rPr>
        <w:t xml:space="preserve"> </w:t>
      </w:r>
      <w:r>
        <w:rPr>
          <w:rFonts w:cs="Arial"/>
          <w:lang w:val="de-CH"/>
        </w:rPr>
        <w:t>der Gemeinderat</w:t>
      </w:r>
      <w:r w:rsidRPr="002B7200">
        <w:rPr>
          <w:rFonts w:cs="Arial"/>
          <w:lang w:val="de-CH"/>
        </w:rPr>
        <w:t xml:space="preserve"> vor oder bei vorgängig nicht erkennbaren Mängeln auch während der Unterhaltsarbeiten mit den Eigentümern der privaten Anlagen eine schriftliche Vereinbarung gemäss Abs. 2 abschliessen oder vom Unterhalt zurücktreten.</w:t>
      </w:r>
    </w:p>
    <w:p w:rsidR="00ED460E" w:rsidRDefault="00ED460E" w:rsidP="00243889">
      <w:pPr>
        <w:tabs>
          <w:tab w:val="left" w:pos="284"/>
          <w:tab w:val="left" w:pos="4536"/>
          <w:tab w:val="left" w:pos="6237"/>
        </w:tabs>
        <w:spacing w:after="120"/>
        <w:ind w:left="284" w:hanging="284"/>
        <w:rPr>
          <w:rFonts w:cs="Arial"/>
        </w:rPr>
      </w:pPr>
      <w:r w:rsidRPr="002B7200">
        <w:rPr>
          <w:rFonts w:cs="Arial"/>
        </w:rPr>
        <w:t>2</w:t>
      </w:r>
      <w:r w:rsidRPr="002B7200">
        <w:rPr>
          <w:rFonts w:cs="Arial"/>
        </w:rPr>
        <w:tab/>
        <w:t xml:space="preserve">In der schriftlichen Vereinbarung gemäss Abs. 1 </w:t>
      </w:r>
      <w:r w:rsidRPr="00AA6A69">
        <w:rPr>
          <w:rFonts w:cs="Arial"/>
        </w:rPr>
        <w:t>lit. h. können</w:t>
      </w:r>
      <w:r w:rsidRPr="002B7200">
        <w:rPr>
          <w:rFonts w:cs="Arial"/>
        </w:rPr>
        <w:t xml:space="preserve"> unter anderem folgende Sachverhalte geregelt werden:</w:t>
      </w:r>
    </w:p>
    <w:p w:rsidR="00ED460E" w:rsidRPr="002B7200" w:rsidRDefault="00ED460E" w:rsidP="00243889">
      <w:pPr>
        <w:tabs>
          <w:tab w:val="left" w:pos="567"/>
          <w:tab w:val="left" w:pos="4536"/>
          <w:tab w:val="left" w:pos="6237"/>
        </w:tabs>
        <w:spacing w:after="120"/>
        <w:ind w:left="284" w:hanging="284"/>
        <w:rPr>
          <w:rFonts w:cs="Arial"/>
        </w:rPr>
      </w:pPr>
      <w:r w:rsidRPr="002B7200">
        <w:rPr>
          <w:rFonts w:cs="Arial"/>
        </w:rPr>
        <w:tab/>
        <w:t>a)</w:t>
      </w:r>
      <w:r w:rsidRPr="002B7200">
        <w:rPr>
          <w:rFonts w:cs="Arial"/>
        </w:rPr>
        <w:tab/>
        <w:t>Das zivilrechtliche Eigentum;</w:t>
      </w:r>
    </w:p>
    <w:p w:rsidR="00ED460E" w:rsidRPr="002B7200" w:rsidRDefault="00ED460E" w:rsidP="00243889">
      <w:pPr>
        <w:tabs>
          <w:tab w:val="left" w:pos="567"/>
          <w:tab w:val="left" w:pos="4536"/>
          <w:tab w:val="left" w:pos="6237"/>
        </w:tabs>
        <w:spacing w:after="120"/>
        <w:ind w:left="284" w:hanging="284"/>
        <w:rPr>
          <w:rFonts w:cs="Arial"/>
        </w:rPr>
      </w:pPr>
      <w:r w:rsidRPr="002B7200">
        <w:rPr>
          <w:rFonts w:cs="Arial"/>
        </w:rPr>
        <w:tab/>
        <w:t>b)</w:t>
      </w:r>
      <w:r w:rsidRPr="002B7200">
        <w:rPr>
          <w:rFonts w:cs="Arial"/>
        </w:rPr>
        <w:tab/>
        <w:t>Das Recht auf Eintragung einer Dienstbarkeit (Leitungsbaurecht);</w:t>
      </w:r>
    </w:p>
    <w:p w:rsidR="00ED460E" w:rsidRPr="002B7200" w:rsidRDefault="00ED460E" w:rsidP="00243889">
      <w:pPr>
        <w:tabs>
          <w:tab w:val="left" w:pos="567"/>
          <w:tab w:val="left" w:pos="4536"/>
          <w:tab w:val="left" w:pos="6237"/>
        </w:tabs>
        <w:spacing w:after="120"/>
        <w:ind w:left="284" w:hanging="284"/>
        <w:rPr>
          <w:rFonts w:cs="Arial"/>
        </w:rPr>
      </w:pPr>
      <w:r w:rsidRPr="002B7200">
        <w:rPr>
          <w:rFonts w:cs="Arial"/>
        </w:rPr>
        <w:tab/>
        <w:t>c)</w:t>
      </w:r>
      <w:r w:rsidRPr="002B7200">
        <w:rPr>
          <w:rFonts w:cs="Arial"/>
        </w:rPr>
        <w:tab/>
        <w:t>Die Regelung von Leitungsverlegungen;</w:t>
      </w:r>
    </w:p>
    <w:p w:rsidR="00ED460E" w:rsidRPr="002B7200" w:rsidRDefault="00ED460E" w:rsidP="00243889">
      <w:pPr>
        <w:tabs>
          <w:tab w:val="left" w:pos="567"/>
          <w:tab w:val="left" w:pos="4536"/>
          <w:tab w:val="left" w:pos="6237"/>
        </w:tabs>
        <w:spacing w:after="120"/>
        <w:ind w:left="284" w:hanging="284"/>
        <w:rPr>
          <w:rFonts w:cs="Arial"/>
        </w:rPr>
      </w:pPr>
      <w:r w:rsidRPr="002B7200">
        <w:rPr>
          <w:rFonts w:cs="Arial"/>
        </w:rPr>
        <w:tab/>
        <w:t>d)</w:t>
      </w:r>
      <w:r w:rsidRPr="002B7200">
        <w:rPr>
          <w:rFonts w:cs="Arial"/>
        </w:rPr>
        <w:tab/>
        <w:t>Das Zutrittsrecht auf das Grundstück;</w:t>
      </w:r>
    </w:p>
    <w:p w:rsidR="00ED460E" w:rsidRPr="002B7200" w:rsidRDefault="00ED460E" w:rsidP="00243889">
      <w:pPr>
        <w:tabs>
          <w:tab w:val="left" w:pos="567"/>
          <w:tab w:val="left" w:pos="4536"/>
          <w:tab w:val="left" w:pos="6237"/>
        </w:tabs>
        <w:spacing w:after="120"/>
        <w:ind w:left="284" w:hanging="284"/>
        <w:rPr>
          <w:rFonts w:cs="Arial"/>
        </w:rPr>
      </w:pPr>
      <w:r w:rsidRPr="002B7200">
        <w:rPr>
          <w:rFonts w:cs="Arial"/>
        </w:rPr>
        <w:tab/>
        <w:t>e)</w:t>
      </w:r>
      <w:r w:rsidRPr="002B7200">
        <w:rPr>
          <w:rFonts w:cs="Arial"/>
        </w:rPr>
        <w:tab/>
        <w:t>Die Tragung von allfällig entstehenden Mehrkosten durch die Privaten;</w:t>
      </w:r>
    </w:p>
    <w:p w:rsidR="00ED460E" w:rsidRPr="002B7200" w:rsidRDefault="00ED460E" w:rsidP="00243889">
      <w:pPr>
        <w:tabs>
          <w:tab w:val="left" w:pos="567"/>
          <w:tab w:val="left" w:pos="4536"/>
          <w:tab w:val="left" w:pos="6237"/>
        </w:tabs>
        <w:spacing w:after="120"/>
        <w:ind w:left="284" w:hanging="284"/>
        <w:rPr>
          <w:rFonts w:cs="Arial"/>
        </w:rPr>
      </w:pPr>
      <w:r w:rsidRPr="002B7200">
        <w:rPr>
          <w:rFonts w:cs="Arial"/>
        </w:rPr>
        <w:tab/>
        <w:t>f)</w:t>
      </w:r>
      <w:r w:rsidRPr="002B7200">
        <w:rPr>
          <w:rFonts w:cs="Arial"/>
        </w:rPr>
        <w:tab/>
        <w:t>Den Zeitpunkt für die Behebung von Mängeln.</w:t>
      </w:r>
    </w:p>
    <w:p w:rsidR="00ED460E" w:rsidRPr="002B7200" w:rsidRDefault="00ED460E" w:rsidP="00243889">
      <w:pPr>
        <w:tabs>
          <w:tab w:val="left" w:pos="284"/>
          <w:tab w:val="left" w:pos="4536"/>
          <w:tab w:val="left" w:pos="6237"/>
        </w:tabs>
        <w:ind w:left="284" w:hanging="284"/>
        <w:rPr>
          <w:rFonts w:cs="Arial"/>
        </w:rPr>
      </w:pPr>
      <w:r w:rsidRPr="002B7200">
        <w:rPr>
          <w:rFonts w:cs="Arial"/>
        </w:rPr>
        <w:tab/>
        <w:t xml:space="preserve">Kommt keine Vereinbarung zustande, kann </w:t>
      </w:r>
      <w:r>
        <w:rPr>
          <w:rFonts w:cs="Arial"/>
        </w:rPr>
        <w:t>der Gemeinderat</w:t>
      </w:r>
      <w:r w:rsidRPr="002B7200">
        <w:rPr>
          <w:rFonts w:cs="Arial"/>
        </w:rPr>
        <w:t xml:space="preserve"> </w:t>
      </w:r>
      <w:r>
        <w:rPr>
          <w:rFonts w:cs="Arial"/>
        </w:rPr>
        <w:t>den</w:t>
      </w:r>
      <w:r w:rsidRPr="002B7200">
        <w:rPr>
          <w:rFonts w:cs="Arial"/>
        </w:rPr>
        <w:t xml:space="preserve"> Unterhalt des betroffenen Leitungsabschnitts</w:t>
      </w:r>
      <w:r>
        <w:rPr>
          <w:rFonts w:cs="Arial"/>
        </w:rPr>
        <w:t xml:space="preserve"> durch die Einwohnergemeinde</w:t>
      </w:r>
      <w:r w:rsidRPr="002B7200">
        <w:rPr>
          <w:rFonts w:cs="Arial"/>
        </w:rPr>
        <w:t xml:space="preserve"> </w:t>
      </w:r>
      <w:r>
        <w:rPr>
          <w:rFonts w:cs="Arial"/>
        </w:rPr>
        <w:t>zurückweisen</w:t>
      </w:r>
      <w:r w:rsidRPr="002B7200">
        <w:rPr>
          <w:rFonts w:cs="Arial"/>
        </w:rPr>
        <w:t>.</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3</w:t>
      </w:r>
      <w:r w:rsidRPr="002B7200">
        <w:rPr>
          <w:rFonts w:cs="Arial"/>
        </w:rPr>
        <w:tab/>
        <w:t xml:space="preserve">Neue Baugebiete werden von den interessierten Privaten erschlossen. </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4</w:t>
      </w:r>
      <w:r w:rsidRPr="002B7200">
        <w:rPr>
          <w:rFonts w:cs="Arial"/>
        </w:rPr>
        <w:tab/>
        <w:t xml:space="preserve">Für die Erstellung und allfällige Verlegungen von Leitungen sind die privaten </w:t>
      </w:r>
      <w:r>
        <w:rPr>
          <w:rFonts w:cs="Arial"/>
        </w:rPr>
        <w:t>Leitungse</w:t>
      </w:r>
      <w:r w:rsidRPr="002B7200">
        <w:rPr>
          <w:rFonts w:cs="Arial"/>
        </w:rPr>
        <w:t xml:space="preserve">igentümer zuständig und kostenpflichtig, auch dann, wenn die </w:t>
      </w:r>
      <w:r>
        <w:rPr>
          <w:rFonts w:cs="Arial"/>
        </w:rPr>
        <w:t>Einwohnergemeinde</w:t>
      </w:r>
      <w:r w:rsidRPr="002B7200">
        <w:rPr>
          <w:rFonts w:cs="Arial"/>
        </w:rPr>
        <w:t xml:space="preserve"> eine Leitung in den Unterhalt übernommen hat bzw. voraussichtlich übernehmen wird.</w:t>
      </w:r>
    </w:p>
    <w:p w:rsidR="00ED460E" w:rsidRDefault="00ED460E" w:rsidP="00243889">
      <w:pPr>
        <w:tabs>
          <w:tab w:val="left" w:pos="284"/>
          <w:tab w:val="left" w:pos="4536"/>
          <w:tab w:val="left" w:pos="6237"/>
        </w:tabs>
        <w:ind w:left="284" w:hanging="284"/>
        <w:rPr>
          <w:rFonts w:cs="Arial"/>
        </w:rPr>
      </w:pPr>
    </w:p>
    <w:p w:rsidR="00ED460E" w:rsidRPr="002B7200" w:rsidRDefault="00ED460E" w:rsidP="00ED460E">
      <w:pPr>
        <w:tabs>
          <w:tab w:val="left" w:pos="284"/>
          <w:tab w:val="left" w:pos="4536"/>
          <w:tab w:val="left" w:pos="6237"/>
        </w:tabs>
        <w:ind w:left="284" w:hanging="284"/>
        <w:jc w:val="both"/>
        <w:rPr>
          <w:rFonts w:cs="Arial"/>
        </w:rPr>
      </w:pPr>
    </w:p>
    <w:p w:rsidR="00ED460E" w:rsidRPr="003C3A7E" w:rsidRDefault="00ED460E" w:rsidP="007E45D2">
      <w:pPr>
        <w:pStyle w:val="berschrift2"/>
      </w:pPr>
      <w:bookmarkStart w:id="40" w:name="_Toc71123113"/>
      <w:bookmarkStart w:id="41" w:name="_Toc71879426"/>
      <w:r w:rsidRPr="003C3A7E">
        <w:t xml:space="preserve">Art. </w:t>
      </w:r>
      <w:r>
        <w:t>17</w:t>
      </w:r>
      <w:r w:rsidRPr="003C3A7E">
        <w:tab/>
        <w:t>Förderbeitrag an Erschliessung von Nichtbauzonen</w:t>
      </w:r>
      <w:bookmarkEnd w:id="40"/>
      <w:bookmarkEnd w:id="41"/>
    </w:p>
    <w:p w:rsidR="00ED460E" w:rsidRPr="003C3A7E" w:rsidRDefault="00ED460E" w:rsidP="00ED460E">
      <w:pPr>
        <w:tabs>
          <w:tab w:val="left" w:pos="284"/>
          <w:tab w:val="left" w:pos="4536"/>
          <w:tab w:val="left" w:pos="6237"/>
        </w:tabs>
        <w:ind w:left="284" w:hanging="284"/>
        <w:jc w:val="both"/>
        <w:rPr>
          <w:rFonts w:cs="Arial"/>
        </w:rPr>
      </w:pPr>
    </w:p>
    <w:p w:rsidR="00ED460E" w:rsidRPr="003C3A7E" w:rsidRDefault="00ED460E" w:rsidP="00243889">
      <w:pPr>
        <w:tabs>
          <w:tab w:val="left" w:pos="284"/>
          <w:tab w:val="left" w:pos="4536"/>
          <w:tab w:val="left" w:pos="6237"/>
        </w:tabs>
        <w:ind w:left="284" w:hanging="284"/>
        <w:rPr>
          <w:rFonts w:cs="Arial"/>
        </w:rPr>
      </w:pPr>
      <w:r w:rsidRPr="003C3A7E">
        <w:rPr>
          <w:rFonts w:cs="Arial"/>
        </w:rPr>
        <w:t>1</w:t>
      </w:r>
      <w:r w:rsidRPr="003C3A7E">
        <w:rPr>
          <w:rFonts w:cs="Arial"/>
        </w:rPr>
        <w:tab/>
        <w:t xml:space="preserve">Gestützt auf Art. </w:t>
      </w:r>
      <w:r>
        <w:rPr>
          <w:rFonts w:cs="Arial"/>
        </w:rPr>
        <w:t>18</w:t>
      </w:r>
      <w:r w:rsidRPr="003C3A7E">
        <w:rPr>
          <w:rFonts w:cs="Arial"/>
        </w:rPr>
        <w:t xml:space="preserve"> Abs. 3 </w:t>
      </w:r>
      <w:r>
        <w:rPr>
          <w:rFonts w:cs="Arial"/>
        </w:rPr>
        <w:t xml:space="preserve">AR </w:t>
      </w:r>
      <w:r w:rsidRPr="003C3A7E">
        <w:rPr>
          <w:rFonts w:cs="Arial"/>
        </w:rPr>
        <w:t xml:space="preserve">entrichtet </w:t>
      </w:r>
      <w:r>
        <w:rPr>
          <w:rFonts w:cs="Arial"/>
        </w:rPr>
        <w:t xml:space="preserve">der Gemeinderat </w:t>
      </w:r>
      <w:r w:rsidRPr="003C3A7E">
        <w:rPr>
          <w:rFonts w:cs="Arial"/>
        </w:rPr>
        <w:t>Förderbeiträge an die Erschliessung von bereits bebauten Grundstücken ausserhalb der Bauzone.</w:t>
      </w:r>
    </w:p>
    <w:p w:rsidR="00ED460E" w:rsidRPr="003C3A7E" w:rsidRDefault="00ED460E" w:rsidP="00243889">
      <w:pPr>
        <w:tabs>
          <w:tab w:val="left" w:pos="284"/>
          <w:tab w:val="left" w:pos="4536"/>
          <w:tab w:val="left" w:pos="6237"/>
        </w:tabs>
        <w:ind w:left="284" w:hanging="284"/>
        <w:rPr>
          <w:rFonts w:cs="Arial"/>
        </w:rPr>
      </w:pPr>
    </w:p>
    <w:p w:rsidR="00ED460E" w:rsidRPr="003C3A7E" w:rsidRDefault="00ED460E" w:rsidP="00243889">
      <w:pPr>
        <w:tabs>
          <w:tab w:val="left" w:pos="284"/>
          <w:tab w:val="left" w:pos="4536"/>
          <w:tab w:val="left" w:pos="6237"/>
        </w:tabs>
        <w:ind w:left="284" w:hanging="284"/>
        <w:rPr>
          <w:rFonts w:cs="Arial"/>
        </w:rPr>
      </w:pPr>
      <w:r w:rsidRPr="003C3A7E">
        <w:rPr>
          <w:rFonts w:cs="Arial"/>
        </w:rPr>
        <w:t>2</w:t>
      </w:r>
      <w:r w:rsidRPr="003C3A7E">
        <w:rPr>
          <w:rFonts w:cs="Arial"/>
        </w:rPr>
        <w:tab/>
        <w:t>Beiträge werden nur an Projekte, welche einen direkten Anschluss an die öffentliche Abwasserreinigungsanlage</w:t>
      </w:r>
      <w:r>
        <w:rPr>
          <w:rFonts w:cs="Arial"/>
        </w:rPr>
        <w:t xml:space="preserve"> (ARA)</w:t>
      </w:r>
      <w:r w:rsidRPr="003C3A7E">
        <w:rPr>
          <w:rFonts w:cs="Arial"/>
        </w:rPr>
        <w:t xml:space="preserve"> zur Folge haben entrichtet. Die im Zusammenhang mit einem Erschliessungsprojekt anzuschliessenden Grundstücke werden nachfolgend als Erschliessungsgruppe bezeichnet.</w:t>
      </w:r>
    </w:p>
    <w:p w:rsidR="00ED460E" w:rsidRPr="003C3A7E" w:rsidRDefault="00ED460E" w:rsidP="00243889">
      <w:pPr>
        <w:tabs>
          <w:tab w:val="left" w:pos="284"/>
          <w:tab w:val="left" w:pos="4536"/>
          <w:tab w:val="left" w:pos="6237"/>
        </w:tabs>
        <w:ind w:left="284" w:hanging="284"/>
        <w:rPr>
          <w:rFonts w:cs="Arial"/>
        </w:rPr>
      </w:pPr>
    </w:p>
    <w:p w:rsidR="00ED460E" w:rsidRPr="003C3A7E" w:rsidRDefault="00ED460E" w:rsidP="00243889">
      <w:pPr>
        <w:tabs>
          <w:tab w:val="left" w:pos="284"/>
          <w:tab w:val="left" w:pos="4536"/>
          <w:tab w:val="left" w:pos="6237"/>
        </w:tabs>
        <w:ind w:left="284" w:hanging="284"/>
        <w:rPr>
          <w:rFonts w:cs="Arial"/>
        </w:rPr>
      </w:pPr>
      <w:r w:rsidRPr="003C3A7E">
        <w:rPr>
          <w:rFonts w:cs="Arial"/>
        </w:rPr>
        <w:t>3</w:t>
      </w:r>
      <w:r w:rsidRPr="003C3A7E">
        <w:rPr>
          <w:rFonts w:cs="Arial"/>
        </w:rPr>
        <w:tab/>
        <w:t>Die zur Ermittlung des Förderbeitrags massgeblichen Erschliessungskosten umfassen die Planungs-kosten und die Baukosten derjenigen privat zu erstellenden Leitungsabschnitte, welche von mindestens zwei voneinander unabhängigen Grundstücken genutzt werden. An allfällige Einkaufsbeträge für den Anschluss an bestehende private Leitungen wird kein Förderbeitrag entrichtet.</w:t>
      </w:r>
    </w:p>
    <w:p w:rsidR="00ED460E" w:rsidRPr="003C3A7E" w:rsidRDefault="00ED460E" w:rsidP="00243889">
      <w:pPr>
        <w:tabs>
          <w:tab w:val="left" w:pos="284"/>
          <w:tab w:val="left" w:pos="4536"/>
          <w:tab w:val="left" w:pos="6237"/>
        </w:tabs>
        <w:ind w:left="284" w:hanging="284"/>
        <w:rPr>
          <w:rFonts w:cs="Arial"/>
        </w:rPr>
      </w:pPr>
    </w:p>
    <w:p w:rsidR="00ED460E" w:rsidRDefault="00ED460E" w:rsidP="00243889">
      <w:pPr>
        <w:tabs>
          <w:tab w:val="left" w:pos="284"/>
          <w:tab w:val="left" w:pos="4536"/>
          <w:tab w:val="left" w:pos="6237"/>
        </w:tabs>
        <w:ind w:left="284" w:hanging="284"/>
        <w:rPr>
          <w:rFonts w:cs="Arial"/>
        </w:rPr>
      </w:pPr>
      <w:r w:rsidRPr="003C3A7E">
        <w:rPr>
          <w:rFonts w:cs="Arial"/>
        </w:rPr>
        <w:t>4</w:t>
      </w:r>
      <w:r w:rsidRPr="003C3A7E">
        <w:rPr>
          <w:rFonts w:cs="Arial"/>
        </w:rPr>
        <w:tab/>
        <w:t xml:space="preserve">Der Förderbeitrag umfasst einen Anteil von maximal 25 % an die Erschliessungskosten gemäss Abs. 3. Der Förderbeitrag wird aufgrund der Baukostenschätzung des Vorprojekts festgelegt. Dieser wird in folgender Reihenfolge und Zusammensetzung an die Erschliessungsgruppe entrichtet: </w:t>
      </w:r>
    </w:p>
    <w:p w:rsidR="00ED460E" w:rsidRPr="00FE662B" w:rsidRDefault="00ED460E" w:rsidP="00243889">
      <w:pPr>
        <w:pStyle w:val="Listenabsatz"/>
        <w:numPr>
          <w:ilvl w:val="0"/>
          <w:numId w:val="11"/>
        </w:numPr>
        <w:tabs>
          <w:tab w:val="left" w:pos="284"/>
          <w:tab w:val="left" w:pos="4536"/>
          <w:tab w:val="left" w:pos="6237"/>
        </w:tabs>
        <w:spacing w:before="120" w:after="120" w:line="280" w:lineRule="atLeast"/>
        <w:ind w:left="641" w:hanging="357"/>
        <w:rPr>
          <w:rFonts w:cs="Arial"/>
          <w:lang w:val="de-CH"/>
        </w:rPr>
      </w:pPr>
      <w:r w:rsidRPr="00FE662B">
        <w:rPr>
          <w:rFonts w:cs="Arial"/>
          <w:lang w:val="de-CH"/>
        </w:rPr>
        <w:t xml:space="preserve">Die Einwohnergemeinde übernimmt die Planung bis und mit Bauprojekt soweit die Planungskosten den maximalen Förderbeitrag nicht übersteigen. Bedingung: sämtliche Grundeigentümer der Erschliessungsgruppe erklären sich vorgängig schriftlich einverstanden, dass der Gemeinderat die Planung für die ganze Erschliessungsgruppe durchführen lässt. </w:t>
      </w:r>
    </w:p>
    <w:p w:rsidR="00ED460E" w:rsidRPr="003C3A7E" w:rsidRDefault="00ED460E" w:rsidP="00243889">
      <w:pPr>
        <w:pStyle w:val="Listenabsatz"/>
        <w:numPr>
          <w:ilvl w:val="0"/>
          <w:numId w:val="11"/>
        </w:numPr>
        <w:tabs>
          <w:tab w:val="left" w:pos="284"/>
          <w:tab w:val="left" w:pos="4536"/>
          <w:tab w:val="left" w:pos="6237"/>
        </w:tabs>
        <w:spacing w:before="240" w:line="280" w:lineRule="atLeast"/>
        <w:ind w:left="641" w:hanging="357"/>
        <w:rPr>
          <w:rFonts w:cs="Arial"/>
          <w:lang w:val="de-CH"/>
        </w:rPr>
      </w:pPr>
      <w:r w:rsidRPr="003C3A7E">
        <w:rPr>
          <w:rFonts w:cs="Arial"/>
          <w:lang w:val="de-CH"/>
        </w:rPr>
        <w:t xml:space="preserve">Der nach der Planung noch verbleibende Restbetrag des maximalen Förderbeitrags entrichtet </w:t>
      </w:r>
      <w:r>
        <w:rPr>
          <w:rFonts w:cs="Arial"/>
          <w:lang w:val="de-CH"/>
        </w:rPr>
        <w:t>der Gemeinderat</w:t>
      </w:r>
      <w:r w:rsidRPr="003C3A7E">
        <w:rPr>
          <w:rFonts w:cs="Arial"/>
          <w:lang w:val="de-CH"/>
        </w:rPr>
        <w:t xml:space="preserve"> an die Erschliessungsgruppe nach erfolgtem Anschluss an die </w:t>
      </w:r>
      <w:r>
        <w:rPr>
          <w:rFonts w:cs="Arial"/>
          <w:lang w:val="de-CH"/>
        </w:rPr>
        <w:t>öffentliche ARA</w:t>
      </w:r>
      <w:r w:rsidRPr="003C3A7E">
        <w:rPr>
          <w:rFonts w:cs="Arial"/>
          <w:lang w:val="de-CH"/>
        </w:rPr>
        <w:t xml:space="preserve">, sofern nachfolgende Bedingungen eingehalten sind: Sämtliche Grundstücke der Erschliessungsgruppe sind innerhalb von zwei Jahren nach der Zustellung der Anschlussverfügung an die öffentliche </w:t>
      </w:r>
      <w:r>
        <w:rPr>
          <w:rFonts w:cs="Arial"/>
          <w:lang w:val="de-CH"/>
        </w:rPr>
        <w:t>ARA</w:t>
      </w:r>
      <w:r w:rsidRPr="003C3A7E">
        <w:rPr>
          <w:rFonts w:cs="Arial"/>
          <w:lang w:val="de-CH"/>
        </w:rPr>
        <w:t xml:space="preserve"> angeschlossen.</w:t>
      </w:r>
    </w:p>
    <w:p w:rsidR="00ED460E" w:rsidRPr="003C3A7E" w:rsidRDefault="00ED460E" w:rsidP="00243889">
      <w:pPr>
        <w:tabs>
          <w:tab w:val="left" w:pos="284"/>
          <w:tab w:val="left" w:pos="4536"/>
          <w:tab w:val="left" w:pos="6237"/>
        </w:tabs>
        <w:ind w:left="284" w:hanging="284"/>
        <w:rPr>
          <w:rFonts w:cs="Arial"/>
        </w:rPr>
      </w:pPr>
    </w:p>
    <w:p w:rsidR="00ED460E" w:rsidRDefault="00ED460E" w:rsidP="00243889">
      <w:pPr>
        <w:tabs>
          <w:tab w:val="left" w:pos="284"/>
          <w:tab w:val="left" w:pos="4536"/>
          <w:tab w:val="left" w:pos="6237"/>
        </w:tabs>
        <w:ind w:left="284" w:hanging="284"/>
        <w:rPr>
          <w:rFonts w:cs="Arial"/>
        </w:rPr>
      </w:pPr>
      <w:r w:rsidRPr="003C3A7E">
        <w:rPr>
          <w:rFonts w:cs="Arial"/>
        </w:rPr>
        <w:t>5</w:t>
      </w:r>
      <w:r w:rsidRPr="003C3A7E">
        <w:rPr>
          <w:rFonts w:cs="Arial"/>
        </w:rPr>
        <w:tab/>
        <w:t>Beitragsberechtigt sind Erschliessungsgruppen nach Unterzeichnung einer entsprechenden Vereinbarung mit der Gemeinde. In dieser Vereinbarung werden Bedingungen und Auflagen im Rahmen der Erstellung des Erschliessungsprojekts und des künftigen Unterhalts der Anlagen festgelegt. Diese können beispielsweise die Festlegung einer Rechtskörperschaft für die Erschliessungs-gruppe, die Unterzeichnung von Werkverträgen, die schriftliche Anerkennung von Kostenverteilern, die Einhaltung von Planungs- und Qualitätsvorgaben, die erfolgreichen Bauwerkabnahmen, die Einplanung von Kapazitätsreserven für allfällige künftige Anschlüsse usw. sein.</w:t>
      </w:r>
    </w:p>
    <w:p w:rsidR="00ED460E" w:rsidRDefault="00ED460E" w:rsidP="00ED460E">
      <w:pPr>
        <w:tabs>
          <w:tab w:val="left" w:pos="284"/>
          <w:tab w:val="left" w:pos="4536"/>
          <w:tab w:val="left" w:pos="6237"/>
        </w:tabs>
        <w:ind w:left="284" w:hanging="284"/>
        <w:jc w:val="both"/>
        <w:rPr>
          <w:rFonts w:cs="Arial"/>
        </w:rPr>
      </w:pP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7E45D2">
      <w:pPr>
        <w:pStyle w:val="berschrift2"/>
      </w:pPr>
      <w:bookmarkStart w:id="42" w:name="_Toc71123114"/>
      <w:bookmarkStart w:id="43" w:name="_Toc71879427"/>
      <w:r w:rsidRPr="002B7200">
        <w:t xml:space="preserve">Art. </w:t>
      </w:r>
      <w:r>
        <w:t>18</w:t>
      </w:r>
      <w:r w:rsidRPr="002B7200">
        <w:tab/>
        <w:t>Starkverschmutzer / Grosseinleiter</w:t>
      </w:r>
      <w:bookmarkEnd w:id="42"/>
      <w:bookmarkEnd w:id="43"/>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1</w:t>
      </w:r>
      <w:r w:rsidRPr="002B7200">
        <w:rPr>
          <w:rFonts w:cs="Arial"/>
        </w:rPr>
        <w:tab/>
        <w:t xml:space="preserve">Gestützt auf Art. </w:t>
      </w:r>
      <w:r>
        <w:rPr>
          <w:rFonts w:cs="Arial"/>
        </w:rPr>
        <w:t>24</w:t>
      </w:r>
      <w:r w:rsidRPr="002B7200">
        <w:rPr>
          <w:rFonts w:cs="Arial"/>
        </w:rPr>
        <w:t xml:space="preserve"> Abs. </w:t>
      </w:r>
      <w:r>
        <w:rPr>
          <w:rFonts w:cs="Arial"/>
        </w:rPr>
        <w:t>6</w:t>
      </w:r>
      <w:r w:rsidRPr="002B7200">
        <w:rPr>
          <w:rFonts w:cs="Arial"/>
        </w:rPr>
        <w:t xml:space="preserve"> </w:t>
      </w:r>
      <w:r>
        <w:rPr>
          <w:rFonts w:cs="Arial"/>
        </w:rPr>
        <w:t>AR</w:t>
      </w:r>
      <w:r w:rsidRPr="002B7200">
        <w:rPr>
          <w:rFonts w:cs="Arial"/>
        </w:rPr>
        <w:t xml:space="preserve">, wird </w:t>
      </w:r>
      <w:r>
        <w:rPr>
          <w:rFonts w:cs="Arial"/>
        </w:rPr>
        <w:t>mit den</w:t>
      </w:r>
      <w:r w:rsidRPr="002B7200">
        <w:rPr>
          <w:rFonts w:cs="Arial"/>
        </w:rPr>
        <w:t xml:space="preserve"> Starkverschmutzer</w:t>
      </w:r>
      <w:r>
        <w:rPr>
          <w:rFonts w:cs="Arial"/>
        </w:rPr>
        <w:t>n</w:t>
      </w:r>
      <w:r w:rsidRPr="002B7200">
        <w:rPr>
          <w:rFonts w:cs="Arial"/>
        </w:rPr>
        <w:t xml:space="preserve"> / Grosseinleiter</w:t>
      </w:r>
      <w:r>
        <w:rPr>
          <w:rFonts w:cs="Arial"/>
        </w:rPr>
        <w:t>n</w:t>
      </w:r>
      <w:r w:rsidRPr="002B7200">
        <w:rPr>
          <w:rFonts w:cs="Arial"/>
        </w:rPr>
        <w:t xml:space="preserve"> ein</w:t>
      </w:r>
      <w:r>
        <w:rPr>
          <w:rFonts w:cs="Arial"/>
        </w:rPr>
        <w:t>e schriftliche Vereinbarung getroffen. Darin wird ein</w:t>
      </w:r>
      <w:r w:rsidRPr="002B7200">
        <w:rPr>
          <w:rFonts w:cs="Arial"/>
        </w:rPr>
        <w:t xml:space="preserve"> Zuschlag </w:t>
      </w:r>
      <w:r>
        <w:rPr>
          <w:rFonts w:cs="Arial"/>
        </w:rPr>
        <w:t>festgesetzt</w:t>
      </w:r>
      <w:r w:rsidRPr="002B7200">
        <w:rPr>
          <w:rFonts w:cs="Arial"/>
        </w:rPr>
        <w:t xml:space="preserve">, damit die von ihnen verursachten zusätzlichen Kosten verursachergerecht gedeckt werden. Dieser Zuschlag richtet sich nach dem Betriebskostenverteiler des </w:t>
      </w:r>
      <w:r>
        <w:rPr>
          <w:rFonts w:cs="Arial"/>
        </w:rPr>
        <w:t>GVRZ</w:t>
      </w:r>
      <w:r w:rsidRPr="002B7200">
        <w:rPr>
          <w:rFonts w:cs="Arial"/>
        </w:rPr>
        <w:t xml:space="preserve"> und beinhaltet Abwassermenge und Schmutzstofffrachten.</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lastRenderedPageBreak/>
        <w:t>2</w:t>
      </w:r>
      <w:r w:rsidRPr="002B7200">
        <w:rPr>
          <w:rFonts w:cs="Arial"/>
        </w:rPr>
        <w:tab/>
      </w:r>
      <w:bookmarkStart w:id="44" w:name="_Hlk54950261"/>
      <w:r w:rsidRPr="002B7200">
        <w:rPr>
          <w:rFonts w:cs="Arial"/>
        </w:rPr>
        <w:t xml:space="preserve">Der durch einen Starkverschmutzer / Grosseinleiter verursachte jährliche Anteil am Betriebskostenbeitrag an den </w:t>
      </w:r>
      <w:r>
        <w:rPr>
          <w:rFonts w:cs="Arial"/>
        </w:rPr>
        <w:t>GVRZ</w:t>
      </w:r>
      <w:r w:rsidRPr="002B7200">
        <w:rPr>
          <w:rFonts w:cs="Arial"/>
        </w:rPr>
        <w:t xml:space="preserve"> wird vollumfänglich durch den Starkverschmutzer/Grosseinleiter selbst getragen.</w:t>
      </w:r>
      <w:bookmarkEnd w:id="44"/>
      <w:r w:rsidRPr="002B7200">
        <w:rPr>
          <w:rFonts w:cs="Arial"/>
        </w:rPr>
        <w:t xml:space="preserve"> </w:t>
      </w:r>
    </w:p>
    <w:p w:rsidR="00ED460E" w:rsidRPr="002B7200" w:rsidRDefault="00ED460E" w:rsidP="00243889">
      <w:pPr>
        <w:tabs>
          <w:tab w:val="left" w:pos="284"/>
          <w:tab w:val="left" w:pos="4536"/>
          <w:tab w:val="left" w:pos="6237"/>
        </w:tabs>
        <w:ind w:left="284" w:hanging="284"/>
        <w:rPr>
          <w:rFonts w:cs="Arial"/>
        </w:rPr>
      </w:pPr>
    </w:p>
    <w:p w:rsidR="00ED460E" w:rsidRPr="002B7200" w:rsidRDefault="00ED460E" w:rsidP="00243889">
      <w:pPr>
        <w:tabs>
          <w:tab w:val="left" w:pos="284"/>
          <w:tab w:val="left" w:pos="4536"/>
          <w:tab w:val="left" w:pos="6237"/>
        </w:tabs>
        <w:ind w:left="284" w:hanging="284"/>
        <w:rPr>
          <w:rFonts w:cs="Arial"/>
        </w:rPr>
      </w:pPr>
      <w:r w:rsidRPr="002B7200">
        <w:rPr>
          <w:rFonts w:cs="Arial"/>
        </w:rPr>
        <w:t>3</w:t>
      </w:r>
      <w:r w:rsidRPr="002B7200">
        <w:rPr>
          <w:rFonts w:cs="Arial"/>
        </w:rPr>
        <w:tab/>
        <w:t xml:space="preserve">Zusätzlich hat der Starkverschmutzer / Grosseinleiter zur Mitfinanzierung der restlichen Betriebs- und Werterhaltungskosten Betriebsgebühren gemäss Art. </w:t>
      </w:r>
      <w:r>
        <w:rPr>
          <w:rFonts w:cs="Arial"/>
        </w:rPr>
        <w:t>24</w:t>
      </w:r>
      <w:r w:rsidRPr="002B7200">
        <w:rPr>
          <w:rFonts w:cs="Arial"/>
        </w:rPr>
        <w:t xml:space="preserve"> und </w:t>
      </w:r>
      <w:r>
        <w:rPr>
          <w:rFonts w:cs="Arial"/>
        </w:rPr>
        <w:t>25 AR zu</w:t>
      </w:r>
      <w:r w:rsidRPr="002B7200">
        <w:rPr>
          <w:rFonts w:cs="Arial"/>
        </w:rPr>
        <w:t xml:space="preserve"> entrichten. Dabei werden die Gebührenansätze gemäss </w:t>
      </w:r>
      <w:r w:rsidRPr="00B254F2">
        <w:rPr>
          <w:rFonts w:cs="Arial"/>
        </w:rPr>
        <w:t xml:space="preserve">Art. 4 </w:t>
      </w:r>
      <w:r w:rsidRPr="002B7200">
        <w:rPr>
          <w:rFonts w:cs="Arial"/>
        </w:rPr>
        <w:t>um den jährlichen Betriebskostenbeitrag</w:t>
      </w:r>
      <w:r>
        <w:rPr>
          <w:rFonts w:cs="Arial"/>
        </w:rPr>
        <w:t xml:space="preserve"> an den GVRZ</w:t>
      </w:r>
      <w:r w:rsidRPr="002B7200">
        <w:rPr>
          <w:rFonts w:cs="Arial"/>
        </w:rPr>
        <w:t xml:space="preserve"> reduziert.</w:t>
      </w:r>
    </w:p>
    <w:p w:rsidR="00ED460E" w:rsidRDefault="00ED460E" w:rsidP="00ED460E">
      <w:pPr>
        <w:tabs>
          <w:tab w:val="left" w:pos="284"/>
          <w:tab w:val="left" w:pos="4536"/>
          <w:tab w:val="left" w:pos="6237"/>
        </w:tabs>
        <w:ind w:left="284" w:hanging="284"/>
        <w:jc w:val="both"/>
        <w:rPr>
          <w:rFonts w:cs="Arial"/>
        </w:rPr>
      </w:pP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7E45D2">
      <w:pPr>
        <w:pStyle w:val="berschrift2"/>
      </w:pPr>
      <w:bookmarkStart w:id="45" w:name="_Toc251135303"/>
      <w:bookmarkStart w:id="46" w:name="_Toc251147649"/>
      <w:bookmarkStart w:id="47" w:name="_Toc251147781"/>
      <w:bookmarkStart w:id="48" w:name="_Toc251153102"/>
      <w:bookmarkStart w:id="49" w:name="_Toc251153179"/>
      <w:bookmarkStart w:id="50" w:name="_Toc251153249"/>
      <w:bookmarkStart w:id="51" w:name="_Toc251153319"/>
      <w:bookmarkStart w:id="52" w:name="_Toc318817680"/>
      <w:bookmarkStart w:id="53" w:name="_Toc318896213"/>
      <w:bookmarkStart w:id="54" w:name="_Toc327285999"/>
      <w:bookmarkStart w:id="55" w:name="_Toc334090054"/>
      <w:bookmarkStart w:id="56" w:name="_Toc348362402"/>
      <w:bookmarkStart w:id="57" w:name="_Toc374692746"/>
      <w:bookmarkStart w:id="58" w:name="_Toc379467466"/>
      <w:bookmarkStart w:id="59" w:name="_Toc457377964"/>
      <w:bookmarkStart w:id="60" w:name="_Toc71123115"/>
      <w:bookmarkStart w:id="61" w:name="_Toc71879428"/>
      <w:bookmarkStart w:id="62" w:name="_Toc494878750"/>
      <w:r w:rsidRPr="002B7200">
        <w:t xml:space="preserve">Art. </w:t>
      </w:r>
      <w:r>
        <w:t>19</w:t>
      </w:r>
      <w:r w:rsidRPr="002B7200">
        <w:tab/>
        <w:t>Übergangsbestimmungen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ED460E" w:rsidRPr="002B7200" w:rsidRDefault="00ED460E" w:rsidP="00ED460E">
      <w:pPr>
        <w:jc w:val="both"/>
        <w:rPr>
          <w:sz w:val="22"/>
        </w:rPr>
      </w:pPr>
    </w:p>
    <w:bookmarkEnd w:id="62"/>
    <w:p w:rsidR="00ED460E" w:rsidRPr="002B7200" w:rsidRDefault="00ED460E" w:rsidP="00243889">
      <w:pPr>
        <w:ind w:left="426" w:hanging="426"/>
      </w:pPr>
      <w:r w:rsidRPr="002B7200">
        <w:t>1</w:t>
      </w:r>
      <w:r w:rsidRPr="002B7200">
        <w:tab/>
        <w:t xml:space="preserve">Die Betriebsgebühr wird erstmals im </w:t>
      </w:r>
      <w:r w:rsidR="007E45D2">
        <w:rPr>
          <w:highlight w:val="lightGray"/>
        </w:rPr>
        <w:t>Monat</w:t>
      </w:r>
      <w:r>
        <w:rPr>
          <w:highlight w:val="lightGray"/>
        </w:rPr>
        <w:t xml:space="preserve"> jjjj</w:t>
      </w:r>
      <w:r w:rsidRPr="002B7200">
        <w:t xml:space="preserve"> basierend auf der vorliegenden </w:t>
      </w:r>
      <w:r>
        <w:t>VAR</w:t>
      </w:r>
      <w:r w:rsidRPr="002B7200">
        <w:t xml:space="preserve"> in Rechnung gestellt.</w:t>
      </w:r>
    </w:p>
    <w:p w:rsidR="00ED460E" w:rsidRPr="002B7200" w:rsidRDefault="00ED460E" w:rsidP="00243889"/>
    <w:p w:rsidR="00ED460E" w:rsidRPr="002B7200" w:rsidRDefault="00ED460E" w:rsidP="00243889">
      <w:pPr>
        <w:ind w:left="426" w:hanging="426"/>
      </w:pPr>
      <w:r w:rsidRPr="002B7200">
        <w:t>2</w:t>
      </w:r>
      <w:r w:rsidRPr="002B7200">
        <w:tab/>
        <w:t xml:space="preserve">Die Anschlussgebühr wird ab dem </w:t>
      </w:r>
      <w:r>
        <w:rPr>
          <w:rFonts w:cs="Arial"/>
          <w:highlight w:val="lightGray"/>
        </w:rPr>
        <w:t>tt</w:t>
      </w:r>
      <w:r w:rsidRPr="00B254F2">
        <w:rPr>
          <w:rFonts w:cs="Arial"/>
          <w:highlight w:val="lightGray"/>
        </w:rPr>
        <w:t>.</w:t>
      </w:r>
      <w:r>
        <w:rPr>
          <w:rFonts w:cs="Arial"/>
          <w:highlight w:val="lightGray"/>
        </w:rPr>
        <w:t>mm.</w:t>
      </w:r>
      <w:r w:rsidRPr="00B254F2">
        <w:rPr>
          <w:rFonts w:cs="Arial"/>
          <w:highlight w:val="lightGray"/>
        </w:rPr>
        <w:t>jjjj</w:t>
      </w:r>
      <w:r w:rsidRPr="002B7200">
        <w:t xml:space="preserve"> gemäss der vorliegenden </w:t>
      </w:r>
      <w:r>
        <w:t>VAR</w:t>
      </w:r>
      <w:r w:rsidRPr="002B7200">
        <w:t xml:space="preserve"> erhoben. Stichtag ist der Tag der Baubewilligungserteilung. Vor diesem Datum erteilte </w:t>
      </w:r>
      <w:r w:rsidRPr="002B7200">
        <w:rPr>
          <w:rFonts w:cs="Arial"/>
        </w:rPr>
        <w:t>Baubewilligungen werden</w:t>
      </w:r>
      <w:r w:rsidRPr="002B7200">
        <w:t xml:space="preserve"> nach dem bisherigen Reglement beurteilt.</w:t>
      </w:r>
    </w:p>
    <w:p w:rsidR="00ED460E" w:rsidRDefault="00ED460E" w:rsidP="00ED460E">
      <w:pPr>
        <w:tabs>
          <w:tab w:val="left" w:pos="284"/>
          <w:tab w:val="left" w:pos="4536"/>
          <w:tab w:val="left" w:pos="6237"/>
        </w:tabs>
        <w:ind w:left="284" w:hanging="284"/>
        <w:jc w:val="both"/>
        <w:rPr>
          <w:rFonts w:cs="Arial"/>
        </w:rPr>
      </w:pPr>
    </w:p>
    <w:p w:rsidR="00ED460E" w:rsidRPr="002B7200" w:rsidRDefault="00ED460E" w:rsidP="00ED460E">
      <w:pPr>
        <w:tabs>
          <w:tab w:val="left" w:pos="284"/>
          <w:tab w:val="left" w:pos="4536"/>
          <w:tab w:val="left" w:pos="6237"/>
        </w:tabs>
        <w:ind w:left="284" w:hanging="284"/>
        <w:jc w:val="both"/>
        <w:rPr>
          <w:rFonts w:cs="Arial"/>
        </w:rPr>
      </w:pPr>
    </w:p>
    <w:p w:rsidR="00ED460E" w:rsidRPr="002B7200" w:rsidRDefault="00ED460E" w:rsidP="007E45D2">
      <w:pPr>
        <w:pStyle w:val="berschrift2"/>
      </w:pPr>
      <w:bookmarkStart w:id="63" w:name="_Toc71123116"/>
      <w:bookmarkStart w:id="64" w:name="_Toc71879429"/>
      <w:r w:rsidRPr="002B7200">
        <w:t xml:space="preserve">Art. </w:t>
      </w:r>
      <w:r>
        <w:t>20</w:t>
      </w:r>
      <w:r w:rsidRPr="002B7200">
        <w:tab/>
        <w:t>Inkrafttreten</w:t>
      </w:r>
      <w:bookmarkEnd w:id="63"/>
      <w:bookmarkEnd w:id="64"/>
    </w:p>
    <w:p w:rsidR="00ED460E" w:rsidRPr="002B7200" w:rsidRDefault="00ED460E" w:rsidP="00ED460E">
      <w:pPr>
        <w:tabs>
          <w:tab w:val="left" w:pos="284"/>
          <w:tab w:val="left" w:pos="4536"/>
          <w:tab w:val="left" w:pos="6237"/>
        </w:tabs>
        <w:jc w:val="both"/>
        <w:rPr>
          <w:rFonts w:cs="Arial"/>
          <w:highlight w:val="green"/>
        </w:rPr>
      </w:pPr>
    </w:p>
    <w:p w:rsidR="00ED460E" w:rsidRPr="002B7200" w:rsidRDefault="00ED460E" w:rsidP="00243889">
      <w:pPr>
        <w:ind w:left="426" w:hanging="426"/>
      </w:pPr>
      <w:r w:rsidRPr="002B7200">
        <w:t>1</w:t>
      </w:r>
      <w:r w:rsidRPr="002B7200">
        <w:tab/>
        <w:t xml:space="preserve">Die </w:t>
      </w:r>
      <w:r>
        <w:t>VAR</w:t>
      </w:r>
      <w:r w:rsidRPr="002B7200">
        <w:t xml:space="preserve"> tritt mit dem Entscheid des Gemeinderates auf den </w:t>
      </w:r>
      <w:r>
        <w:rPr>
          <w:rFonts w:cs="Arial"/>
          <w:highlight w:val="lightGray"/>
        </w:rPr>
        <w:t>tt</w:t>
      </w:r>
      <w:r w:rsidRPr="00B254F2">
        <w:rPr>
          <w:rFonts w:cs="Arial"/>
          <w:highlight w:val="lightGray"/>
        </w:rPr>
        <w:t>.</w:t>
      </w:r>
      <w:r>
        <w:rPr>
          <w:rFonts w:cs="Arial"/>
          <w:highlight w:val="lightGray"/>
        </w:rPr>
        <w:t>mm.</w:t>
      </w:r>
      <w:r w:rsidRPr="00B254F2">
        <w:rPr>
          <w:rFonts w:cs="Arial"/>
          <w:highlight w:val="lightGray"/>
        </w:rPr>
        <w:t>jjjj</w:t>
      </w:r>
      <w:r w:rsidRPr="002B7200">
        <w:t xml:space="preserve"> in Kraft. </w:t>
      </w:r>
    </w:p>
    <w:p w:rsidR="00ED460E" w:rsidRPr="002B7200" w:rsidRDefault="00ED460E" w:rsidP="00243889">
      <w:pPr>
        <w:ind w:left="426" w:hanging="426"/>
      </w:pPr>
    </w:p>
    <w:p w:rsidR="00ED460E" w:rsidRPr="002B7200" w:rsidRDefault="00ED460E" w:rsidP="00243889">
      <w:pPr>
        <w:ind w:left="426" w:hanging="426"/>
      </w:pPr>
      <w:r w:rsidRPr="002B7200">
        <w:t>2</w:t>
      </w:r>
      <w:r w:rsidRPr="002B7200">
        <w:tab/>
        <w:t xml:space="preserve">Mit dem Inkrafttreten dieser </w:t>
      </w:r>
      <w:r>
        <w:t>VAR</w:t>
      </w:r>
      <w:r w:rsidRPr="002B7200">
        <w:t xml:space="preserve"> </w:t>
      </w:r>
      <w:r>
        <w:t>werden</w:t>
      </w:r>
      <w:r w:rsidRPr="002B7200">
        <w:t xml:space="preserve"> unter Vorbehalt von </w:t>
      </w:r>
      <w:r w:rsidRPr="00B254F2">
        <w:t>Art. 1</w:t>
      </w:r>
      <w:r>
        <w:t>9</w:t>
      </w:r>
      <w:r w:rsidRPr="002B7200">
        <w:t xml:space="preserve"> </w:t>
      </w:r>
      <w:r>
        <w:t>s</w:t>
      </w:r>
      <w:r w:rsidRPr="002B7200">
        <w:t>ämtliche widersprechenden Erlasse aufgehoben.</w:t>
      </w:r>
    </w:p>
    <w:p w:rsidR="00ED460E" w:rsidRPr="002B7200" w:rsidRDefault="00ED460E" w:rsidP="00ED460E">
      <w:pPr>
        <w:tabs>
          <w:tab w:val="left" w:pos="284"/>
          <w:tab w:val="left" w:pos="4536"/>
          <w:tab w:val="left" w:pos="6237"/>
        </w:tabs>
        <w:spacing w:after="120"/>
        <w:jc w:val="both"/>
        <w:rPr>
          <w:rFonts w:cs="Arial"/>
        </w:rPr>
      </w:pPr>
    </w:p>
    <w:p w:rsidR="00ED460E" w:rsidRPr="00B254F2" w:rsidRDefault="00ED460E" w:rsidP="00ED460E">
      <w:pPr>
        <w:tabs>
          <w:tab w:val="left" w:pos="284"/>
          <w:tab w:val="left" w:pos="4536"/>
          <w:tab w:val="left" w:pos="6237"/>
        </w:tabs>
        <w:spacing w:after="120"/>
        <w:jc w:val="both"/>
        <w:rPr>
          <w:rFonts w:cs="Arial"/>
        </w:rPr>
      </w:pPr>
      <w:r>
        <w:rPr>
          <w:rFonts w:cs="Arial"/>
          <w:highlight w:val="lightGray"/>
        </w:rPr>
        <w:t>Einwohnergemeinde</w:t>
      </w:r>
      <w:r w:rsidRPr="00B254F2">
        <w:rPr>
          <w:rFonts w:cs="Arial"/>
          <w:highlight w:val="lightGray"/>
        </w:rPr>
        <w:t xml:space="preserve"> </w:t>
      </w:r>
      <w:r w:rsidR="007E45D2">
        <w:rPr>
          <w:rFonts w:cs="Arial"/>
          <w:highlight w:val="lightGray"/>
        </w:rPr>
        <w:t>XYZ</w:t>
      </w:r>
      <w:r w:rsidRPr="00B254F2">
        <w:rPr>
          <w:rFonts w:cs="Arial"/>
          <w:highlight w:val="lightGray"/>
        </w:rPr>
        <w:t>,</w:t>
      </w:r>
      <w:r w:rsidR="009862DE">
        <w:rPr>
          <w:rFonts w:cs="Arial"/>
          <w:highlight w:val="lightGray"/>
        </w:rPr>
        <w:t xml:space="preserve"> tt.mm.jjjj.</w:t>
      </w:r>
    </w:p>
    <w:p w:rsidR="00ED460E" w:rsidRPr="002B7200" w:rsidRDefault="00ED460E" w:rsidP="00ED460E">
      <w:pPr>
        <w:rPr>
          <w:rFonts w:cs="Arial"/>
        </w:rPr>
      </w:pPr>
    </w:p>
    <w:p w:rsidR="00ED460E" w:rsidRPr="00B254F2" w:rsidRDefault="00ED460E" w:rsidP="00ED460E">
      <w:pPr>
        <w:rPr>
          <w:b/>
          <w:bCs/>
        </w:rPr>
      </w:pPr>
      <w:bookmarkStart w:id="65" w:name="_Toc251147654"/>
      <w:bookmarkStart w:id="66" w:name="_Toc251147786"/>
      <w:bookmarkStart w:id="67" w:name="_Toc318817685"/>
      <w:r w:rsidRPr="00B254F2">
        <w:rPr>
          <w:b/>
          <w:bCs/>
        </w:rPr>
        <w:t>Namens des Gemeinderates</w:t>
      </w:r>
      <w:bookmarkEnd w:id="65"/>
      <w:bookmarkEnd w:id="66"/>
      <w:bookmarkEnd w:id="67"/>
    </w:p>
    <w:p w:rsidR="00ED460E" w:rsidRPr="002B7200" w:rsidRDefault="00ED460E" w:rsidP="00ED460E">
      <w:pPr>
        <w:rPr>
          <w:rFonts w:cs="Arial"/>
        </w:rPr>
      </w:pPr>
    </w:p>
    <w:tbl>
      <w:tblPr>
        <w:tblStyle w:val="Tabellenraster"/>
        <w:tblW w:w="0" w:type="auto"/>
        <w:tblLook w:val="04A0" w:firstRow="1" w:lastRow="0" w:firstColumn="1" w:lastColumn="0" w:noHBand="0" w:noVBand="1"/>
      </w:tblPr>
      <w:tblGrid>
        <w:gridCol w:w="4506"/>
        <w:gridCol w:w="4508"/>
      </w:tblGrid>
      <w:tr w:rsidR="00ED460E" w:rsidRPr="002B7200" w:rsidTr="00ED460E">
        <w:tc>
          <w:tcPr>
            <w:tcW w:w="4530" w:type="dxa"/>
          </w:tcPr>
          <w:p w:rsidR="00ED460E" w:rsidRPr="00B254F2" w:rsidRDefault="00ED460E" w:rsidP="00ED460E">
            <w:r w:rsidRPr="00B254F2">
              <w:t>Gemeindepräsident:</w:t>
            </w:r>
          </w:p>
          <w:p w:rsidR="00ED460E" w:rsidRPr="00B254F2" w:rsidRDefault="00ED460E" w:rsidP="00ED460E">
            <w:pPr>
              <w:rPr>
                <w:rFonts w:cs="Arial"/>
              </w:rPr>
            </w:pPr>
          </w:p>
          <w:p w:rsidR="00ED460E" w:rsidRPr="00B254F2" w:rsidRDefault="00ED460E" w:rsidP="00ED460E"/>
          <w:p w:rsidR="00ED460E" w:rsidRPr="00B254F2" w:rsidRDefault="00ED460E" w:rsidP="00ED460E"/>
          <w:p w:rsidR="00ED460E" w:rsidRPr="00B254F2" w:rsidRDefault="00ED460E" w:rsidP="00ED460E">
            <w:r w:rsidRPr="00B254F2">
              <w:t xml:space="preserve">sig. </w:t>
            </w:r>
            <w:r w:rsidRPr="00B254F2">
              <w:rPr>
                <w:highlight w:val="lightGray"/>
              </w:rPr>
              <w:t>[***]</w:t>
            </w:r>
          </w:p>
          <w:p w:rsidR="00ED460E" w:rsidRPr="00B254F2" w:rsidRDefault="00ED460E" w:rsidP="00ED460E">
            <w:pPr>
              <w:rPr>
                <w:rFonts w:cs="Arial"/>
              </w:rPr>
            </w:pPr>
          </w:p>
        </w:tc>
        <w:tc>
          <w:tcPr>
            <w:tcW w:w="4531" w:type="dxa"/>
          </w:tcPr>
          <w:p w:rsidR="00ED460E" w:rsidRPr="00B254F2" w:rsidRDefault="00ED460E" w:rsidP="00ED460E">
            <w:r w:rsidRPr="00B254F2">
              <w:t xml:space="preserve">Gemeindeschreiber: </w:t>
            </w:r>
          </w:p>
          <w:p w:rsidR="00ED460E" w:rsidRPr="00B254F2" w:rsidRDefault="00ED460E" w:rsidP="00ED460E"/>
          <w:p w:rsidR="00ED460E" w:rsidRPr="00B254F2" w:rsidRDefault="00ED460E" w:rsidP="00ED460E"/>
          <w:p w:rsidR="00ED460E" w:rsidRPr="00B254F2" w:rsidRDefault="00ED460E" w:rsidP="00ED460E"/>
          <w:p w:rsidR="00ED460E" w:rsidRPr="00B254F2" w:rsidRDefault="00ED460E" w:rsidP="00ED460E">
            <w:pPr>
              <w:rPr>
                <w:rFonts w:cs="Arial"/>
              </w:rPr>
            </w:pPr>
            <w:r w:rsidRPr="00B254F2">
              <w:t xml:space="preserve">sig. </w:t>
            </w:r>
            <w:r w:rsidRPr="00B254F2">
              <w:rPr>
                <w:highlight w:val="lightGray"/>
              </w:rPr>
              <w:t>[***]</w:t>
            </w:r>
          </w:p>
        </w:tc>
      </w:tr>
    </w:tbl>
    <w:p w:rsidR="00ED460E" w:rsidRPr="003F2951" w:rsidRDefault="00ED460E" w:rsidP="00ED460E">
      <w:pPr>
        <w:widowControl w:val="0"/>
        <w:overflowPunct w:val="0"/>
        <w:autoSpaceDE w:val="0"/>
        <w:autoSpaceDN w:val="0"/>
        <w:adjustRightInd w:val="0"/>
        <w:textAlignment w:val="baseline"/>
        <w:rPr>
          <w:rFonts w:cs="Arial"/>
          <w:b/>
          <w:sz w:val="24"/>
        </w:rPr>
      </w:pPr>
    </w:p>
    <w:p w:rsidR="007E45D2" w:rsidRDefault="007E45D2">
      <w:pPr>
        <w:spacing w:line="240" w:lineRule="auto"/>
        <w:rPr>
          <w:rFonts w:cs="Arial"/>
          <w:b/>
        </w:rPr>
      </w:pPr>
      <w:r>
        <w:rPr>
          <w:rFonts w:cs="Arial"/>
          <w:b/>
        </w:rPr>
        <w:br w:type="page"/>
      </w:r>
    </w:p>
    <w:p w:rsidR="00ED460E" w:rsidRPr="009078E7" w:rsidRDefault="00ED460E" w:rsidP="0076585B">
      <w:pPr>
        <w:pStyle w:val="berschrift2"/>
      </w:pPr>
      <w:bookmarkStart w:id="68" w:name="_Toc71879430"/>
      <w:r w:rsidRPr="009078E7">
        <w:lastRenderedPageBreak/>
        <w:t>ANHANG 1: Weiterführung Bewohnbarkeitskorrekturen</w:t>
      </w:r>
      <w:bookmarkEnd w:id="68"/>
    </w:p>
    <w:p w:rsidR="00ED460E" w:rsidRPr="003F2951" w:rsidRDefault="00ED460E" w:rsidP="00ED460E">
      <w:pPr>
        <w:rPr>
          <w:rFonts w:cs="Arial"/>
          <w:bCs/>
          <w:sz w:val="24"/>
          <w:szCs w:val="24"/>
        </w:rPr>
      </w:pPr>
    </w:p>
    <w:p w:rsidR="00ED460E" w:rsidRPr="003F2951" w:rsidRDefault="00ED460E" w:rsidP="00ED460E">
      <w:pPr>
        <w:rPr>
          <w:rFonts w:cs="Arial"/>
          <w:bCs/>
        </w:rPr>
      </w:pPr>
      <w:r w:rsidRPr="003F2951">
        <w:rPr>
          <w:rFonts w:cs="Arial"/>
          <w:bCs/>
        </w:rPr>
        <w:t>Die Tabelle in Art. 8 Abs. 3 wird gemäss nachfolgendem Mechanismus gleichförmig weitergeführt</w:t>
      </w:r>
      <w:r w:rsidRPr="003F2951">
        <w:rPr>
          <w:rStyle w:val="Funotenzeichen"/>
          <w:rFonts w:cs="Arial"/>
          <w:bCs/>
        </w:rPr>
        <w:footnoteReference w:id="1"/>
      </w:r>
      <w:r w:rsidRPr="003F2951">
        <w:rPr>
          <w:rFonts w:cs="Arial"/>
          <w:bCs/>
        </w:rPr>
        <w:t>.</w:t>
      </w:r>
    </w:p>
    <w:p w:rsidR="00ED460E" w:rsidRPr="003F2951" w:rsidRDefault="00ED460E" w:rsidP="00ED460E">
      <w:pPr>
        <w:rPr>
          <w:rFonts w:cs="Arial"/>
          <w:bCs/>
        </w:rPr>
      </w:pPr>
    </w:p>
    <w:p w:rsidR="00ED460E" w:rsidRPr="003F2951" w:rsidRDefault="00ED460E" w:rsidP="00ED460E">
      <w:pPr>
        <w:tabs>
          <w:tab w:val="center" w:pos="4819"/>
          <w:tab w:val="right" w:pos="9071"/>
        </w:tabs>
        <w:ind w:left="426" w:hanging="426"/>
        <w:rPr>
          <w:rFonts w:cs="Arial"/>
        </w:rPr>
      </w:pPr>
    </w:p>
    <w:p w:rsidR="00ED460E" w:rsidRPr="003F2951" w:rsidRDefault="00ED460E" w:rsidP="00ED460E">
      <w:pPr>
        <w:tabs>
          <w:tab w:val="center" w:pos="4819"/>
          <w:tab w:val="right" w:pos="9071"/>
        </w:tabs>
        <w:ind w:left="426" w:hanging="426"/>
        <w:rPr>
          <w:rFonts w:cs="Arial"/>
        </w:rPr>
      </w:pPr>
      <w:r w:rsidRPr="003F2951">
        <w:rPr>
          <w:rFonts w:cs="Arial"/>
        </w:rPr>
        <w:t>Beispiel:</w:t>
      </w:r>
    </w:p>
    <w:p w:rsidR="00ED460E" w:rsidRPr="003F2951" w:rsidRDefault="00ED460E" w:rsidP="00ED460E">
      <w:pPr>
        <w:rPr>
          <w:rFonts w:cs="Arial"/>
          <w:bCs/>
        </w:rPr>
      </w:pPr>
    </w:p>
    <w:tbl>
      <w:tblPr>
        <w:tblW w:w="84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813"/>
        <w:gridCol w:w="803"/>
        <w:gridCol w:w="1821"/>
        <w:gridCol w:w="4188"/>
        <w:gridCol w:w="813"/>
      </w:tblGrid>
      <w:tr w:rsidR="00ED460E" w:rsidRPr="003F2951" w:rsidTr="00ED460E">
        <w:trPr>
          <w:cantSplit/>
          <w:trHeight w:val="454"/>
        </w:trPr>
        <w:tc>
          <w:tcPr>
            <w:tcW w:w="815" w:type="dxa"/>
            <w:shd w:val="clear" w:color="auto" w:fill="D9D9D9" w:themeFill="background1" w:themeFillShade="D9"/>
            <w:vAlign w:val="center"/>
          </w:tcPr>
          <w:p w:rsidR="00ED460E" w:rsidRPr="003F2951" w:rsidRDefault="00ED460E" w:rsidP="00ED460E">
            <w:pPr>
              <w:tabs>
                <w:tab w:val="left" w:pos="284"/>
                <w:tab w:val="center" w:pos="4819"/>
              </w:tabs>
              <w:jc w:val="center"/>
              <w:rPr>
                <w:rFonts w:cs="Arial"/>
                <w:b/>
                <w:bCs/>
                <w:i/>
                <w:iCs/>
                <w:sz w:val="18"/>
                <w:szCs w:val="18"/>
              </w:rPr>
            </w:pPr>
            <w:r w:rsidRPr="003F2951">
              <w:rPr>
                <w:rFonts w:cs="Arial"/>
                <w:b/>
                <w:bCs/>
                <w:i/>
                <w:iCs/>
                <w:sz w:val="18"/>
                <w:szCs w:val="18"/>
              </w:rPr>
              <w:t>Tarif-zone</w:t>
            </w:r>
          </w:p>
        </w:tc>
        <w:tc>
          <w:tcPr>
            <w:tcW w:w="761" w:type="dxa"/>
            <w:shd w:val="clear" w:color="auto" w:fill="D9D9D9" w:themeFill="background1" w:themeFillShade="D9"/>
            <w:vAlign w:val="center"/>
          </w:tcPr>
          <w:p w:rsidR="00ED460E" w:rsidRPr="003F2951" w:rsidRDefault="00ED460E" w:rsidP="00ED460E">
            <w:pPr>
              <w:tabs>
                <w:tab w:val="right" w:pos="1420"/>
                <w:tab w:val="center" w:pos="4819"/>
              </w:tabs>
              <w:jc w:val="center"/>
              <w:rPr>
                <w:rFonts w:cs="Arial"/>
                <w:i/>
                <w:iCs/>
                <w:sz w:val="18"/>
                <w:szCs w:val="18"/>
              </w:rPr>
            </w:pPr>
            <w:r w:rsidRPr="003F2951">
              <w:rPr>
                <w:rFonts w:cs="Arial"/>
                <w:i/>
                <w:iCs/>
                <w:sz w:val="18"/>
                <w:szCs w:val="18"/>
              </w:rPr>
              <w:t>Geschosszahl</w:t>
            </w:r>
          </w:p>
        </w:tc>
        <w:tc>
          <w:tcPr>
            <w:tcW w:w="1831" w:type="dxa"/>
            <w:shd w:val="clear" w:color="auto" w:fill="D9D9D9" w:themeFill="background1" w:themeFillShade="D9"/>
            <w:vAlign w:val="center"/>
          </w:tcPr>
          <w:p w:rsidR="00ED460E" w:rsidRDefault="00ED460E" w:rsidP="00ED460E">
            <w:pPr>
              <w:tabs>
                <w:tab w:val="right" w:pos="1420"/>
                <w:tab w:val="center" w:pos="4819"/>
              </w:tabs>
              <w:jc w:val="center"/>
              <w:rPr>
                <w:rFonts w:cs="Arial"/>
                <w:i/>
                <w:iCs/>
                <w:sz w:val="18"/>
                <w:szCs w:val="18"/>
              </w:rPr>
            </w:pPr>
            <w:r>
              <w:rPr>
                <w:rFonts w:cs="Arial"/>
                <w:i/>
                <w:iCs/>
                <w:sz w:val="18"/>
                <w:szCs w:val="18"/>
              </w:rPr>
              <w:t>Bandbreite Mittelwerte (MW)</w:t>
            </w:r>
          </w:p>
          <w:p w:rsidR="00ED460E" w:rsidRPr="003F2951" w:rsidRDefault="00ED460E" w:rsidP="00ED460E">
            <w:pPr>
              <w:tabs>
                <w:tab w:val="right" w:pos="1420"/>
                <w:tab w:val="center" w:pos="4819"/>
              </w:tabs>
              <w:jc w:val="center"/>
              <w:rPr>
                <w:rFonts w:cs="Arial"/>
                <w:i/>
                <w:iCs/>
                <w:sz w:val="18"/>
                <w:szCs w:val="18"/>
                <w:vertAlign w:val="subscript"/>
              </w:rPr>
            </w:pPr>
            <w:r w:rsidRPr="003F2951">
              <w:rPr>
                <w:rFonts w:cs="Arial"/>
                <w:i/>
                <w:iCs/>
                <w:sz w:val="18"/>
                <w:szCs w:val="18"/>
              </w:rPr>
              <w:t>MW</w:t>
            </w:r>
            <w:r w:rsidRPr="003F2951">
              <w:rPr>
                <w:rFonts w:cs="Arial"/>
                <w:i/>
                <w:iCs/>
                <w:sz w:val="18"/>
                <w:szCs w:val="18"/>
                <w:vertAlign w:val="subscript"/>
              </w:rPr>
              <w:t>min</w:t>
            </w:r>
            <w:r w:rsidRPr="003F2951">
              <w:rPr>
                <w:rFonts w:cs="Arial"/>
                <w:i/>
                <w:iCs/>
                <w:sz w:val="18"/>
                <w:szCs w:val="18"/>
              </w:rPr>
              <w:t xml:space="preserve"> - MW</w:t>
            </w:r>
            <w:r w:rsidRPr="003F2951">
              <w:rPr>
                <w:rFonts w:cs="Arial"/>
                <w:i/>
                <w:iCs/>
                <w:sz w:val="18"/>
                <w:szCs w:val="18"/>
                <w:vertAlign w:val="subscript"/>
              </w:rPr>
              <w:t>max</w:t>
            </w:r>
          </w:p>
        </w:tc>
        <w:tc>
          <w:tcPr>
            <w:tcW w:w="4217" w:type="dxa"/>
            <w:shd w:val="clear" w:color="auto" w:fill="D9D9D9" w:themeFill="background1" w:themeFillShade="D9"/>
            <w:vAlign w:val="center"/>
          </w:tcPr>
          <w:p w:rsidR="00ED460E" w:rsidRPr="003F2951" w:rsidRDefault="00ED460E" w:rsidP="00ED460E">
            <w:pPr>
              <w:tabs>
                <w:tab w:val="center" w:pos="4819"/>
              </w:tabs>
              <w:ind w:left="2"/>
              <w:rPr>
                <w:rFonts w:cs="Arial"/>
                <w:i/>
                <w:iCs/>
                <w:sz w:val="18"/>
                <w:szCs w:val="18"/>
              </w:rPr>
            </w:pPr>
            <w:r w:rsidRPr="003F2951">
              <w:rPr>
                <w:rFonts w:cs="Arial"/>
                <w:i/>
                <w:iCs/>
                <w:sz w:val="18"/>
                <w:szCs w:val="18"/>
              </w:rPr>
              <w:t>Grenzwert</w:t>
            </w:r>
            <w:r w:rsidRPr="003F2951">
              <w:rPr>
                <w:rFonts w:cs="Arial"/>
                <w:i/>
                <w:iCs/>
                <w:sz w:val="18"/>
                <w:szCs w:val="18"/>
                <w:vertAlign w:val="subscript"/>
              </w:rPr>
              <w:t>-2TZ</w:t>
            </w:r>
          </w:p>
          <w:p w:rsidR="00ED460E" w:rsidRPr="003F2951" w:rsidRDefault="00ED460E" w:rsidP="00ED460E">
            <w:pPr>
              <w:tabs>
                <w:tab w:val="center" w:pos="4819"/>
              </w:tabs>
              <w:ind w:left="2"/>
              <w:rPr>
                <w:rFonts w:cs="Arial"/>
                <w:i/>
                <w:iCs/>
                <w:sz w:val="18"/>
                <w:szCs w:val="18"/>
              </w:rPr>
            </w:pPr>
            <w:r w:rsidRPr="003F2951">
              <w:rPr>
                <w:rFonts w:cs="Arial"/>
                <w:i/>
                <w:iCs/>
                <w:sz w:val="18"/>
                <w:szCs w:val="18"/>
              </w:rPr>
              <w:t>unterer Grenzwert</w:t>
            </w:r>
            <w:r w:rsidRPr="003F2951">
              <w:rPr>
                <w:rFonts w:cs="Arial"/>
                <w:i/>
                <w:iCs/>
                <w:sz w:val="18"/>
                <w:szCs w:val="18"/>
                <w:vertAlign w:val="subscript"/>
              </w:rPr>
              <w:t>-1TZ</w:t>
            </w:r>
            <w:r w:rsidRPr="003F2951">
              <w:rPr>
                <w:rFonts w:cs="Arial"/>
                <w:i/>
                <w:iCs/>
                <w:sz w:val="18"/>
                <w:szCs w:val="18"/>
              </w:rPr>
              <w:t xml:space="preserve"> – oberer Grenzwert</w:t>
            </w:r>
            <w:r w:rsidRPr="003F2951">
              <w:rPr>
                <w:rFonts w:cs="Arial"/>
                <w:i/>
                <w:iCs/>
                <w:sz w:val="18"/>
                <w:szCs w:val="18"/>
                <w:vertAlign w:val="subscript"/>
              </w:rPr>
              <w:t>-1TZ</w:t>
            </w:r>
          </w:p>
          <w:p w:rsidR="00ED460E" w:rsidRPr="003F2951" w:rsidRDefault="00ED460E" w:rsidP="00ED460E">
            <w:pPr>
              <w:tabs>
                <w:tab w:val="center" w:pos="4819"/>
              </w:tabs>
              <w:ind w:left="2"/>
              <w:rPr>
                <w:rFonts w:cs="Arial"/>
                <w:i/>
                <w:iCs/>
                <w:sz w:val="18"/>
                <w:szCs w:val="18"/>
              </w:rPr>
            </w:pPr>
            <w:r w:rsidRPr="003F2951">
              <w:rPr>
                <w:rFonts w:cs="Arial"/>
                <w:i/>
                <w:iCs/>
                <w:sz w:val="18"/>
                <w:szCs w:val="18"/>
              </w:rPr>
              <w:t>unterer Grenzwert</w:t>
            </w:r>
            <w:r w:rsidRPr="003F2951">
              <w:rPr>
                <w:rFonts w:cs="Arial"/>
                <w:i/>
                <w:iCs/>
                <w:sz w:val="18"/>
                <w:szCs w:val="18"/>
                <w:vertAlign w:val="subscript"/>
              </w:rPr>
              <w:t>+1TZ</w:t>
            </w:r>
            <w:r w:rsidRPr="003F2951">
              <w:rPr>
                <w:rFonts w:cs="Arial"/>
                <w:i/>
                <w:iCs/>
                <w:sz w:val="18"/>
                <w:szCs w:val="18"/>
              </w:rPr>
              <w:t xml:space="preserve"> – oberer Grenzwert</w:t>
            </w:r>
            <w:r w:rsidRPr="003F2951">
              <w:rPr>
                <w:rFonts w:cs="Arial"/>
                <w:i/>
                <w:iCs/>
                <w:sz w:val="18"/>
                <w:szCs w:val="18"/>
                <w:vertAlign w:val="subscript"/>
              </w:rPr>
              <w:t>+1TZ</w:t>
            </w:r>
          </w:p>
          <w:p w:rsidR="00ED460E" w:rsidRPr="003F2951" w:rsidRDefault="00ED460E" w:rsidP="00ED460E">
            <w:pPr>
              <w:tabs>
                <w:tab w:val="center" w:pos="4819"/>
              </w:tabs>
              <w:ind w:left="2"/>
              <w:rPr>
                <w:rFonts w:cs="Arial"/>
                <w:i/>
                <w:iCs/>
                <w:sz w:val="18"/>
                <w:szCs w:val="18"/>
              </w:rPr>
            </w:pPr>
            <w:r w:rsidRPr="003F2951">
              <w:rPr>
                <w:rFonts w:cs="Arial"/>
                <w:i/>
                <w:iCs/>
                <w:sz w:val="18"/>
                <w:szCs w:val="18"/>
              </w:rPr>
              <w:t>Grenzwert</w:t>
            </w:r>
            <w:r w:rsidRPr="003F2951">
              <w:rPr>
                <w:rFonts w:cs="Arial"/>
                <w:i/>
                <w:iCs/>
                <w:sz w:val="18"/>
                <w:szCs w:val="18"/>
                <w:vertAlign w:val="subscript"/>
              </w:rPr>
              <w:t>+2TZ</w:t>
            </w:r>
          </w:p>
        </w:tc>
        <w:tc>
          <w:tcPr>
            <w:tcW w:w="814" w:type="dxa"/>
            <w:shd w:val="clear" w:color="auto" w:fill="D9D9D9" w:themeFill="background1" w:themeFillShade="D9"/>
            <w:vAlign w:val="center"/>
          </w:tcPr>
          <w:p w:rsidR="00ED460E" w:rsidRPr="00F47031" w:rsidRDefault="00ED460E" w:rsidP="00ED460E">
            <w:pPr>
              <w:tabs>
                <w:tab w:val="center" w:pos="4819"/>
              </w:tabs>
              <w:jc w:val="center"/>
              <w:rPr>
                <w:rFonts w:cs="Arial"/>
                <w:b/>
                <w:bCs/>
                <w:i/>
                <w:iCs/>
                <w:sz w:val="18"/>
                <w:szCs w:val="18"/>
              </w:rPr>
            </w:pPr>
            <w:r w:rsidRPr="00F47031">
              <w:rPr>
                <w:rFonts w:cs="Arial"/>
                <w:b/>
                <w:bCs/>
                <w:i/>
                <w:iCs/>
                <w:sz w:val="18"/>
                <w:szCs w:val="18"/>
              </w:rPr>
              <w:t>Korrektur</w:t>
            </w:r>
          </w:p>
        </w:tc>
      </w:tr>
      <w:tr w:rsidR="00ED460E" w:rsidRPr="003F2951" w:rsidTr="00ED460E">
        <w:trPr>
          <w:cantSplit/>
          <w:trHeight w:val="454"/>
        </w:trPr>
        <w:tc>
          <w:tcPr>
            <w:tcW w:w="815" w:type="dxa"/>
            <w:shd w:val="clear" w:color="auto" w:fill="FFFFFF" w:themeFill="background1"/>
            <w:vAlign w:val="center"/>
          </w:tcPr>
          <w:p w:rsidR="00ED460E" w:rsidRPr="00740FE4" w:rsidRDefault="00ED460E" w:rsidP="00ED460E">
            <w:pPr>
              <w:tabs>
                <w:tab w:val="left" w:pos="284"/>
                <w:tab w:val="center" w:pos="4819"/>
              </w:tabs>
              <w:jc w:val="center"/>
              <w:rPr>
                <w:rFonts w:cs="Arial"/>
                <w:b/>
                <w:bCs/>
                <w:sz w:val="18"/>
                <w:szCs w:val="18"/>
              </w:rPr>
            </w:pPr>
            <w:r w:rsidRPr="00740FE4">
              <w:rPr>
                <w:rFonts w:cs="Arial"/>
                <w:b/>
                <w:bCs/>
                <w:sz w:val="18"/>
              </w:rPr>
              <w:t>23</w:t>
            </w:r>
          </w:p>
        </w:tc>
        <w:tc>
          <w:tcPr>
            <w:tcW w:w="76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20</w:t>
            </w:r>
          </w:p>
        </w:tc>
        <w:tc>
          <w:tcPr>
            <w:tcW w:w="1831" w:type="dxa"/>
            <w:shd w:val="clear" w:color="auto" w:fill="FFFFFF" w:themeFill="background1"/>
            <w:vAlign w:val="center"/>
          </w:tcPr>
          <w:p w:rsidR="00ED460E" w:rsidRPr="00740FE4" w:rsidDel="00283891" w:rsidRDefault="00ED460E" w:rsidP="00ED460E">
            <w:pPr>
              <w:tabs>
                <w:tab w:val="right" w:pos="1420"/>
                <w:tab w:val="center" w:pos="4819"/>
              </w:tabs>
              <w:jc w:val="center"/>
              <w:rPr>
                <w:rFonts w:cs="Arial"/>
                <w:sz w:val="18"/>
                <w:szCs w:val="18"/>
              </w:rPr>
            </w:pPr>
            <w:r w:rsidRPr="00740FE4">
              <w:rPr>
                <w:rFonts w:cs="Arial"/>
                <w:sz w:val="18"/>
                <w:szCs w:val="18"/>
              </w:rPr>
              <w:t xml:space="preserve">120 – 126 </w:t>
            </w:r>
          </w:p>
        </w:tc>
        <w:tc>
          <w:tcPr>
            <w:tcW w:w="4217" w:type="dxa"/>
            <w:shd w:val="clear" w:color="auto" w:fill="FFFFFF" w:themeFill="background1"/>
            <w:vAlign w:val="center"/>
          </w:tcPr>
          <w:p w:rsidR="00ED460E" w:rsidRPr="00740FE4" w:rsidRDefault="00ED460E" w:rsidP="00ED460E">
            <w:pPr>
              <w:tabs>
                <w:tab w:val="center" w:pos="4819"/>
              </w:tabs>
              <w:ind w:left="2"/>
              <w:rPr>
                <w:rFonts w:cs="Arial"/>
                <w:sz w:val="18"/>
                <w:szCs w:val="18"/>
              </w:rPr>
            </w:pPr>
            <w:r w:rsidRPr="00740FE4">
              <w:rPr>
                <w:rFonts w:cs="Arial"/>
                <w:sz w:val="18"/>
                <w:szCs w:val="18"/>
              </w:rPr>
              <w:t>bis 106 Wohnungen</w:t>
            </w:r>
          </w:p>
          <w:p w:rsidR="00ED460E" w:rsidRPr="00740FE4" w:rsidRDefault="00ED460E" w:rsidP="00ED460E">
            <w:pPr>
              <w:tabs>
                <w:tab w:val="center" w:pos="4819"/>
              </w:tabs>
              <w:ind w:left="2"/>
              <w:rPr>
                <w:rFonts w:cs="Arial"/>
                <w:sz w:val="18"/>
                <w:szCs w:val="18"/>
              </w:rPr>
            </w:pPr>
            <w:r w:rsidRPr="00740FE4">
              <w:rPr>
                <w:rFonts w:cs="Arial"/>
                <w:sz w:val="18"/>
                <w:szCs w:val="18"/>
              </w:rPr>
              <w:t>107 – 119 Wohnungen</w:t>
            </w:r>
          </w:p>
          <w:p w:rsidR="00ED460E" w:rsidRPr="00740FE4" w:rsidRDefault="00ED460E" w:rsidP="00ED460E">
            <w:pPr>
              <w:tabs>
                <w:tab w:val="center" w:pos="4819"/>
              </w:tabs>
              <w:ind w:left="2"/>
              <w:rPr>
                <w:rFonts w:cs="Arial"/>
                <w:sz w:val="18"/>
                <w:szCs w:val="18"/>
              </w:rPr>
            </w:pPr>
            <w:r w:rsidRPr="00740FE4">
              <w:rPr>
                <w:rFonts w:cs="Arial"/>
                <w:sz w:val="18"/>
                <w:szCs w:val="18"/>
              </w:rPr>
              <w:t>127 – 133 Wohnungen</w:t>
            </w:r>
          </w:p>
          <w:p w:rsidR="00ED460E" w:rsidRPr="00740FE4" w:rsidRDefault="00ED460E" w:rsidP="00ED460E">
            <w:pPr>
              <w:tabs>
                <w:tab w:val="center" w:pos="4819"/>
              </w:tabs>
              <w:ind w:left="2"/>
              <w:rPr>
                <w:rFonts w:cs="Arial"/>
                <w:sz w:val="18"/>
                <w:szCs w:val="18"/>
              </w:rPr>
            </w:pPr>
            <w:r w:rsidRPr="00740FE4">
              <w:rPr>
                <w:rFonts w:cs="Arial"/>
                <w:sz w:val="18"/>
                <w:szCs w:val="18"/>
              </w:rPr>
              <w:t>134 und mehr Wohnungen</w:t>
            </w:r>
          </w:p>
        </w:tc>
        <w:tc>
          <w:tcPr>
            <w:tcW w:w="814" w:type="dxa"/>
            <w:shd w:val="clear" w:color="auto" w:fill="FFFFFF" w:themeFill="background1"/>
            <w:vAlign w:val="center"/>
          </w:tcPr>
          <w:p w:rsidR="00ED460E" w:rsidRPr="00740FE4" w:rsidRDefault="00ED460E" w:rsidP="00ED460E">
            <w:pPr>
              <w:tabs>
                <w:tab w:val="center" w:pos="4819"/>
              </w:tabs>
              <w:jc w:val="center"/>
              <w:rPr>
                <w:rFonts w:cs="Arial"/>
                <w:sz w:val="18"/>
                <w:szCs w:val="18"/>
              </w:rPr>
            </w:pPr>
            <w:r w:rsidRPr="00740FE4">
              <w:rPr>
                <w:rFonts w:cs="Arial"/>
                <w:sz w:val="18"/>
                <w:szCs w:val="18"/>
              </w:rPr>
              <w:t>-2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+2 TZ</w:t>
            </w:r>
          </w:p>
        </w:tc>
      </w:tr>
      <w:tr w:rsidR="00ED460E" w:rsidRPr="003F2951" w:rsidTr="00ED460E">
        <w:trPr>
          <w:cantSplit/>
          <w:trHeight w:val="454"/>
        </w:trPr>
        <w:tc>
          <w:tcPr>
            <w:tcW w:w="815" w:type="dxa"/>
            <w:shd w:val="clear" w:color="auto" w:fill="FFFFFF" w:themeFill="background1"/>
            <w:vAlign w:val="center"/>
          </w:tcPr>
          <w:p w:rsidR="00ED460E" w:rsidRPr="00740FE4" w:rsidRDefault="00ED460E" w:rsidP="00ED460E">
            <w:pPr>
              <w:tabs>
                <w:tab w:val="left" w:pos="284"/>
                <w:tab w:val="center" w:pos="4819"/>
              </w:tabs>
              <w:jc w:val="center"/>
              <w:rPr>
                <w:rFonts w:cs="Arial"/>
                <w:b/>
                <w:bCs/>
                <w:sz w:val="18"/>
                <w:szCs w:val="18"/>
              </w:rPr>
            </w:pPr>
            <w:r w:rsidRPr="00740FE4">
              <w:rPr>
                <w:rFonts w:cs="Arial"/>
                <w:b/>
                <w:bCs/>
                <w:sz w:val="18"/>
                <w:szCs w:val="18"/>
              </w:rPr>
              <w:t>24</w:t>
            </w:r>
          </w:p>
        </w:tc>
        <w:tc>
          <w:tcPr>
            <w:tcW w:w="76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21</w:t>
            </w:r>
          </w:p>
        </w:tc>
        <w:tc>
          <w:tcPr>
            <w:tcW w:w="183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126 - 133</w:t>
            </w:r>
          </w:p>
        </w:tc>
        <w:tc>
          <w:tcPr>
            <w:tcW w:w="4217" w:type="dxa"/>
            <w:shd w:val="clear" w:color="auto" w:fill="FFFFFF" w:themeFill="background1"/>
            <w:vAlign w:val="center"/>
          </w:tcPr>
          <w:p w:rsidR="00ED460E" w:rsidRPr="00740FE4" w:rsidRDefault="00ED460E" w:rsidP="00ED460E">
            <w:pPr>
              <w:tabs>
                <w:tab w:val="center" w:pos="4819"/>
              </w:tabs>
              <w:ind w:left="2"/>
              <w:rPr>
                <w:rFonts w:cs="Arial"/>
                <w:sz w:val="18"/>
                <w:szCs w:val="18"/>
              </w:rPr>
            </w:pPr>
            <w:r w:rsidRPr="00740FE4">
              <w:rPr>
                <w:rFonts w:cs="Arial"/>
                <w:sz w:val="18"/>
                <w:szCs w:val="18"/>
              </w:rPr>
              <w:t>bis 110 Wohnungen</w:t>
            </w:r>
          </w:p>
          <w:p w:rsidR="00ED460E" w:rsidRPr="00740FE4" w:rsidRDefault="00ED460E" w:rsidP="00ED460E">
            <w:pPr>
              <w:tabs>
                <w:tab w:val="center" w:pos="4819"/>
              </w:tabs>
              <w:ind w:left="2"/>
              <w:rPr>
                <w:rFonts w:cs="Arial"/>
                <w:sz w:val="18"/>
                <w:szCs w:val="18"/>
              </w:rPr>
            </w:pPr>
            <w:r w:rsidRPr="00740FE4">
              <w:rPr>
                <w:rFonts w:cs="Arial"/>
                <w:sz w:val="18"/>
                <w:szCs w:val="18"/>
              </w:rPr>
              <w:t>111 – 125 Wohnungen</w:t>
            </w:r>
          </w:p>
          <w:p w:rsidR="00ED460E" w:rsidRPr="00740FE4" w:rsidRDefault="00ED460E" w:rsidP="00ED460E">
            <w:pPr>
              <w:tabs>
                <w:tab w:val="center" w:pos="4819"/>
              </w:tabs>
              <w:ind w:left="2"/>
              <w:rPr>
                <w:rFonts w:cs="Arial"/>
                <w:sz w:val="18"/>
                <w:szCs w:val="18"/>
              </w:rPr>
            </w:pPr>
            <w:r w:rsidRPr="00740FE4">
              <w:rPr>
                <w:rFonts w:cs="Arial"/>
                <w:sz w:val="18"/>
                <w:szCs w:val="18"/>
              </w:rPr>
              <w:t>134 – 141 Wohnungen</w:t>
            </w:r>
          </w:p>
          <w:p w:rsidR="00ED460E" w:rsidRPr="00740FE4" w:rsidRDefault="00ED460E" w:rsidP="00ED460E">
            <w:pPr>
              <w:tabs>
                <w:tab w:val="center" w:pos="4819"/>
              </w:tabs>
              <w:ind w:left="2"/>
              <w:rPr>
                <w:rFonts w:cs="Arial"/>
                <w:sz w:val="18"/>
                <w:szCs w:val="18"/>
              </w:rPr>
            </w:pPr>
            <w:r w:rsidRPr="00740FE4">
              <w:rPr>
                <w:rFonts w:cs="Arial"/>
                <w:sz w:val="18"/>
                <w:szCs w:val="18"/>
              </w:rPr>
              <w:t>142 und mehr Wohnungen</w:t>
            </w:r>
          </w:p>
        </w:tc>
        <w:tc>
          <w:tcPr>
            <w:tcW w:w="814" w:type="dxa"/>
            <w:shd w:val="clear" w:color="auto" w:fill="FFFFFF" w:themeFill="background1"/>
            <w:vAlign w:val="center"/>
          </w:tcPr>
          <w:p w:rsidR="00ED460E" w:rsidRPr="00740FE4" w:rsidRDefault="00ED460E" w:rsidP="00ED460E">
            <w:pPr>
              <w:tabs>
                <w:tab w:val="center" w:pos="4819"/>
              </w:tabs>
              <w:jc w:val="center"/>
              <w:rPr>
                <w:rFonts w:cs="Arial"/>
                <w:sz w:val="18"/>
                <w:szCs w:val="18"/>
              </w:rPr>
            </w:pPr>
            <w:r w:rsidRPr="00740FE4">
              <w:rPr>
                <w:rFonts w:cs="Arial"/>
                <w:sz w:val="18"/>
                <w:szCs w:val="18"/>
              </w:rPr>
              <w:t>-2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+2 TZ</w:t>
            </w:r>
          </w:p>
        </w:tc>
      </w:tr>
      <w:tr w:rsidR="00ED460E" w:rsidRPr="003F2951" w:rsidTr="00ED460E">
        <w:trPr>
          <w:cantSplit/>
          <w:trHeight w:val="454"/>
        </w:trPr>
        <w:tc>
          <w:tcPr>
            <w:tcW w:w="815" w:type="dxa"/>
            <w:shd w:val="clear" w:color="auto" w:fill="FFFFFF" w:themeFill="background1"/>
            <w:vAlign w:val="center"/>
          </w:tcPr>
          <w:p w:rsidR="00ED460E" w:rsidRPr="00740FE4" w:rsidRDefault="00ED460E" w:rsidP="00ED460E">
            <w:pPr>
              <w:tabs>
                <w:tab w:val="left" w:pos="284"/>
                <w:tab w:val="center" w:pos="4819"/>
              </w:tabs>
              <w:jc w:val="center"/>
              <w:rPr>
                <w:rFonts w:cs="Arial"/>
                <w:b/>
                <w:bCs/>
                <w:sz w:val="18"/>
                <w:szCs w:val="18"/>
              </w:rPr>
            </w:pPr>
            <w:r w:rsidRPr="00740FE4">
              <w:rPr>
                <w:rFonts w:cs="Arial"/>
                <w:b/>
                <w:bCs/>
                <w:sz w:val="18"/>
                <w:szCs w:val="18"/>
              </w:rPr>
              <w:t>33</w:t>
            </w:r>
          </w:p>
        </w:tc>
        <w:tc>
          <w:tcPr>
            <w:tcW w:w="76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30</w:t>
            </w:r>
          </w:p>
        </w:tc>
        <w:tc>
          <w:tcPr>
            <w:tcW w:w="183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180 - 192</w:t>
            </w:r>
          </w:p>
        </w:tc>
        <w:tc>
          <w:tcPr>
            <w:tcW w:w="4217" w:type="dxa"/>
            <w:shd w:val="clear" w:color="auto" w:fill="FFFFFF" w:themeFill="background1"/>
            <w:vAlign w:val="center"/>
          </w:tcPr>
          <w:p w:rsidR="00ED460E" w:rsidRPr="00740FE4" w:rsidRDefault="00ED460E" w:rsidP="00ED460E">
            <w:pPr>
              <w:tabs>
                <w:tab w:val="center" w:pos="4819"/>
              </w:tabs>
              <w:ind w:left="2"/>
              <w:rPr>
                <w:rFonts w:cs="Arial"/>
                <w:sz w:val="18"/>
                <w:szCs w:val="18"/>
              </w:rPr>
            </w:pPr>
            <w:r w:rsidRPr="00740FE4">
              <w:rPr>
                <w:rFonts w:cs="Arial"/>
                <w:sz w:val="18"/>
                <w:szCs w:val="18"/>
              </w:rPr>
              <w:t>bis 154 Wohnungen</w:t>
            </w:r>
          </w:p>
          <w:p w:rsidR="00ED460E" w:rsidRPr="00740FE4" w:rsidRDefault="00ED460E" w:rsidP="00ED460E">
            <w:pPr>
              <w:tabs>
                <w:tab w:val="center" w:pos="4819"/>
              </w:tabs>
              <w:ind w:left="2"/>
              <w:rPr>
                <w:rFonts w:cs="Arial"/>
                <w:sz w:val="18"/>
                <w:szCs w:val="18"/>
              </w:rPr>
            </w:pPr>
            <w:r w:rsidRPr="00740FE4">
              <w:rPr>
                <w:rFonts w:cs="Arial"/>
                <w:sz w:val="18"/>
                <w:szCs w:val="18"/>
              </w:rPr>
              <w:t>155 – 179 Wohnungen</w:t>
            </w:r>
          </w:p>
          <w:p w:rsidR="00ED460E" w:rsidRPr="00740FE4" w:rsidRDefault="00ED460E" w:rsidP="00ED460E">
            <w:pPr>
              <w:tabs>
                <w:tab w:val="center" w:pos="4819"/>
              </w:tabs>
              <w:ind w:left="2"/>
              <w:rPr>
                <w:rFonts w:cs="Arial"/>
                <w:sz w:val="18"/>
                <w:szCs w:val="18"/>
              </w:rPr>
            </w:pPr>
            <w:r w:rsidRPr="00740FE4">
              <w:rPr>
                <w:rFonts w:cs="Arial"/>
                <w:sz w:val="18"/>
                <w:szCs w:val="18"/>
              </w:rPr>
              <w:t>193 – 205 Wohnungen</w:t>
            </w:r>
          </w:p>
          <w:p w:rsidR="00ED460E" w:rsidRPr="00740FE4" w:rsidRDefault="00ED460E" w:rsidP="00ED460E">
            <w:pPr>
              <w:tabs>
                <w:tab w:val="center" w:pos="4819"/>
              </w:tabs>
              <w:ind w:left="2"/>
              <w:rPr>
                <w:rFonts w:cs="Arial"/>
                <w:sz w:val="18"/>
                <w:szCs w:val="18"/>
              </w:rPr>
            </w:pPr>
            <w:r w:rsidRPr="00740FE4">
              <w:rPr>
                <w:rFonts w:cs="Arial"/>
                <w:sz w:val="18"/>
                <w:szCs w:val="18"/>
              </w:rPr>
              <w:t>206 und mehr Wohnungen</w:t>
            </w:r>
          </w:p>
        </w:tc>
        <w:tc>
          <w:tcPr>
            <w:tcW w:w="814" w:type="dxa"/>
            <w:shd w:val="clear" w:color="auto" w:fill="FFFFFF" w:themeFill="background1"/>
            <w:vAlign w:val="center"/>
          </w:tcPr>
          <w:p w:rsidR="00ED460E" w:rsidRPr="00740FE4" w:rsidRDefault="00ED460E" w:rsidP="00ED460E">
            <w:pPr>
              <w:tabs>
                <w:tab w:val="center" w:pos="4819"/>
              </w:tabs>
              <w:jc w:val="center"/>
              <w:rPr>
                <w:rFonts w:cs="Arial"/>
                <w:sz w:val="18"/>
                <w:szCs w:val="18"/>
              </w:rPr>
            </w:pPr>
            <w:r w:rsidRPr="00740FE4">
              <w:rPr>
                <w:rFonts w:cs="Arial"/>
                <w:sz w:val="18"/>
                <w:szCs w:val="18"/>
              </w:rPr>
              <w:t>-2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+2 TZ</w:t>
            </w:r>
          </w:p>
        </w:tc>
      </w:tr>
      <w:tr w:rsidR="00ED460E" w:rsidRPr="003F2951" w:rsidTr="00ED460E">
        <w:trPr>
          <w:cantSplit/>
          <w:trHeight w:val="454"/>
        </w:trPr>
        <w:tc>
          <w:tcPr>
            <w:tcW w:w="815" w:type="dxa"/>
            <w:shd w:val="clear" w:color="auto" w:fill="FFFFFF" w:themeFill="background1"/>
            <w:vAlign w:val="center"/>
          </w:tcPr>
          <w:p w:rsidR="00ED460E" w:rsidRPr="00740FE4" w:rsidRDefault="00ED460E" w:rsidP="00ED460E">
            <w:pPr>
              <w:tabs>
                <w:tab w:val="left" w:pos="284"/>
                <w:tab w:val="center" w:pos="4819"/>
              </w:tabs>
              <w:jc w:val="center"/>
              <w:rPr>
                <w:rFonts w:cs="Arial"/>
                <w:b/>
                <w:bCs/>
                <w:sz w:val="18"/>
                <w:szCs w:val="18"/>
              </w:rPr>
            </w:pPr>
            <w:r w:rsidRPr="00740FE4">
              <w:rPr>
                <w:rFonts w:cs="Arial"/>
                <w:b/>
                <w:bCs/>
                <w:sz w:val="18"/>
                <w:szCs w:val="18"/>
              </w:rPr>
              <w:t>43</w:t>
            </w:r>
          </w:p>
        </w:tc>
        <w:tc>
          <w:tcPr>
            <w:tcW w:w="76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40</w:t>
            </w:r>
          </w:p>
        </w:tc>
        <w:tc>
          <w:tcPr>
            <w:tcW w:w="1831" w:type="dxa"/>
            <w:shd w:val="clear" w:color="auto" w:fill="FFFFFF" w:themeFill="background1"/>
            <w:vAlign w:val="center"/>
          </w:tcPr>
          <w:p w:rsidR="00ED460E" w:rsidRPr="00740FE4" w:rsidRDefault="00ED460E" w:rsidP="00ED460E">
            <w:pPr>
              <w:tabs>
                <w:tab w:val="right" w:pos="1420"/>
                <w:tab w:val="center" w:pos="4819"/>
              </w:tabs>
              <w:jc w:val="center"/>
              <w:rPr>
                <w:rFonts w:cs="Arial"/>
                <w:sz w:val="18"/>
                <w:szCs w:val="18"/>
              </w:rPr>
            </w:pPr>
            <w:r w:rsidRPr="00740FE4">
              <w:rPr>
                <w:rFonts w:cs="Arial"/>
                <w:sz w:val="18"/>
                <w:szCs w:val="18"/>
              </w:rPr>
              <w:t>240 - 258</w:t>
            </w:r>
          </w:p>
        </w:tc>
        <w:tc>
          <w:tcPr>
            <w:tcW w:w="4217" w:type="dxa"/>
            <w:shd w:val="clear" w:color="auto" w:fill="FFFFFF" w:themeFill="background1"/>
            <w:vAlign w:val="center"/>
          </w:tcPr>
          <w:p w:rsidR="00ED460E" w:rsidRPr="00740FE4" w:rsidRDefault="00ED460E" w:rsidP="00ED460E">
            <w:pPr>
              <w:tabs>
                <w:tab w:val="center" w:pos="4819"/>
              </w:tabs>
              <w:ind w:left="2"/>
              <w:rPr>
                <w:rFonts w:cs="Arial"/>
                <w:sz w:val="18"/>
                <w:szCs w:val="18"/>
              </w:rPr>
            </w:pPr>
            <w:r w:rsidRPr="00740FE4">
              <w:rPr>
                <w:rFonts w:cs="Arial"/>
                <w:sz w:val="18"/>
                <w:szCs w:val="18"/>
              </w:rPr>
              <w:t>bis 202 Wohnungen</w:t>
            </w:r>
          </w:p>
          <w:p w:rsidR="00ED460E" w:rsidRPr="00740FE4" w:rsidRDefault="00ED460E" w:rsidP="00ED460E">
            <w:pPr>
              <w:tabs>
                <w:tab w:val="center" w:pos="4819"/>
              </w:tabs>
              <w:ind w:left="2"/>
              <w:rPr>
                <w:rFonts w:cs="Arial"/>
                <w:sz w:val="18"/>
                <w:szCs w:val="18"/>
              </w:rPr>
            </w:pPr>
            <w:r w:rsidRPr="00740FE4">
              <w:rPr>
                <w:rFonts w:cs="Arial"/>
                <w:sz w:val="18"/>
                <w:szCs w:val="18"/>
              </w:rPr>
              <w:t>203 – 239 Wohnungen</w:t>
            </w:r>
          </w:p>
          <w:p w:rsidR="00ED460E" w:rsidRPr="00740FE4" w:rsidRDefault="00ED460E" w:rsidP="00ED460E">
            <w:pPr>
              <w:tabs>
                <w:tab w:val="center" w:pos="4819"/>
              </w:tabs>
              <w:ind w:left="2"/>
              <w:rPr>
                <w:rFonts w:cs="Arial"/>
                <w:sz w:val="18"/>
                <w:szCs w:val="18"/>
              </w:rPr>
            </w:pPr>
            <w:r w:rsidRPr="00740FE4">
              <w:rPr>
                <w:rFonts w:cs="Arial"/>
                <w:sz w:val="18"/>
                <w:szCs w:val="18"/>
              </w:rPr>
              <w:t>259 – 277 Wohnungen</w:t>
            </w:r>
          </w:p>
          <w:p w:rsidR="00ED460E" w:rsidRPr="00740FE4" w:rsidRDefault="00ED460E" w:rsidP="00ED460E">
            <w:pPr>
              <w:tabs>
                <w:tab w:val="center" w:pos="4819"/>
              </w:tabs>
              <w:ind w:left="2"/>
              <w:rPr>
                <w:rFonts w:cs="Arial"/>
                <w:sz w:val="18"/>
                <w:szCs w:val="18"/>
              </w:rPr>
            </w:pPr>
            <w:r w:rsidRPr="00740FE4">
              <w:rPr>
                <w:rFonts w:cs="Arial"/>
                <w:sz w:val="18"/>
                <w:szCs w:val="18"/>
              </w:rPr>
              <w:t>278 und mehr Wohnungen</w:t>
            </w:r>
          </w:p>
        </w:tc>
        <w:tc>
          <w:tcPr>
            <w:tcW w:w="814" w:type="dxa"/>
            <w:shd w:val="clear" w:color="auto" w:fill="FFFFFF" w:themeFill="background1"/>
            <w:vAlign w:val="center"/>
          </w:tcPr>
          <w:p w:rsidR="00ED460E" w:rsidRPr="00740FE4" w:rsidRDefault="00ED460E" w:rsidP="00ED460E">
            <w:pPr>
              <w:tabs>
                <w:tab w:val="center" w:pos="4819"/>
              </w:tabs>
              <w:jc w:val="center"/>
              <w:rPr>
                <w:rFonts w:cs="Arial"/>
                <w:sz w:val="18"/>
                <w:szCs w:val="18"/>
              </w:rPr>
            </w:pPr>
            <w:r w:rsidRPr="00740FE4">
              <w:rPr>
                <w:rFonts w:cs="Arial"/>
                <w:sz w:val="18"/>
                <w:szCs w:val="18"/>
              </w:rPr>
              <w:t>-2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+1 TZ</w:t>
            </w:r>
          </w:p>
          <w:p w:rsidR="00ED460E" w:rsidRPr="00740FE4" w:rsidRDefault="00ED460E" w:rsidP="00ED460E">
            <w:pPr>
              <w:tabs>
                <w:tab w:val="center" w:pos="4819"/>
              </w:tabs>
              <w:jc w:val="center"/>
              <w:rPr>
                <w:rFonts w:cs="Arial"/>
                <w:sz w:val="18"/>
                <w:szCs w:val="18"/>
              </w:rPr>
            </w:pPr>
            <w:r w:rsidRPr="00740FE4">
              <w:rPr>
                <w:rFonts w:cs="Arial"/>
                <w:sz w:val="18"/>
                <w:szCs w:val="18"/>
              </w:rPr>
              <w:t>+2 TZ</w:t>
            </w:r>
          </w:p>
        </w:tc>
      </w:tr>
      <w:tr w:rsidR="00ED460E" w:rsidRPr="003F2951" w:rsidTr="00ED460E">
        <w:trPr>
          <w:cantSplit/>
          <w:trHeight w:val="454"/>
        </w:trPr>
        <w:tc>
          <w:tcPr>
            <w:tcW w:w="815" w:type="dxa"/>
            <w:shd w:val="clear" w:color="auto" w:fill="FFFFFF" w:themeFill="background1"/>
            <w:vAlign w:val="center"/>
          </w:tcPr>
          <w:p w:rsidR="00ED460E" w:rsidRPr="003F2951" w:rsidRDefault="00ED460E" w:rsidP="00ED460E">
            <w:pPr>
              <w:tabs>
                <w:tab w:val="left" w:pos="284"/>
                <w:tab w:val="center" w:pos="4819"/>
              </w:tabs>
              <w:jc w:val="center"/>
              <w:rPr>
                <w:rFonts w:cs="Arial"/>
                <w:b/>
                <w:bCs/>
                <w:sz w:val="18"/>
                <w:szCs w:val="18"/>
              </w:rPr>
            </w:pPr>
            <w:r w:rsidRPr="003F2951">
              <w:rPr>
                <w:rFonts w:cs="Arial"/>
                <w:b/>
                <w:bCs/>
                <w:sz w:val="18"/>
                <w:szCs w:val="18"/>
              </w:rPr>
              <w:t>usw.</w:t>
            </w:r>
          </w:p>
        </w:tc>
        <w:tc>
          <w:tcPr>
            <w:tcW w:w="761" w:type="dxa"/>
            <w:shd w:val="clear" w:color="auto" w:fill="FFFFFF" w:themeFill="background1"/>
            <w:vAlign w:val="center"/>
          </w:tcPr>
          <w:p w:rsidR="00ED460E" w:rsidRPr="003F2951" w:rsidRDefault="00ED460E" w:rsidP="00ED460E">
            <w:pPr>
              <w:tabs>
                <w:tab w:val="right" w:pos="1420"/>
                <w:tab w:val="center" w:pos="4819"/>
              </w:tabs>
              <w:jc w:val="center"/>
              <w:rPr>
                <w:rFonts w:cs="Arial"/>
                <w:sz w:val="18"/>
                <w:szCs w:val="18"/>
              </w:rPr>
            </w:pPr>
          </w:p>
        </w:tc>
        <w:tc>
          <w:tcPr>
            <w:tcW w:w="1831" w:type="dxa"/>
            <w:shd w:val="clear" w:color="auto" w:fill="FFFFFF" w:themeFill="background1"/>
            <w:vAlign w:val="center"/>
          </w:tcPr>
          <w:p w:rsidR="00ED460E" w:rsidRPr="003F2951" w:rsidRDefault="00ED460E" w:rsidP="00ED460E">
            <w:pPr>
              <w:tabs>
                <w:tab w:val="right" w:pos="1420"/>
                <w:tab w:val="center" w:pos="4819"/>
              </w:tabs>
              <w:jc w:val="center"/>
              <w:rPr>
                <w:rFonts w:cs="Arial"/>
                <w:sz w:val="18"/>
                <w:szCs w:val="18"/>
              </w:rPr>
            </w:pPr>
          </w:p>
        </w:tc>
        <w:tc>
          <w:tcPr>
            <w:tcW w:w="4217" w:type="dxa"/>
            <w:shd w:val="clear" w:color="auto" w:fill="FFFFFF" w:themeFill="background1"/>
            <w:vAlign w:val="center"/>
          </w:tcPr>
          <w:p w:rsidR="00ED460E" w:rsidRPr="003F2951" w:rsidRDefault="00ED460E" w:rsidP="00ED460E">
            <w:pPr>
              <w:tabs>
                <w:tab w:val="center" w:pos="4819"/>
              </w:tabs>
              <w:ind w:left="2"/>
              <w:rPr>
                <w:rFonts w:cs="Arial"/>
                <w:sz w:val="18"/>
                <w:szCs w:val="18"/>
              </w:rPr>
            </w:pPr>
          </w:p>
        </w:tc>
        <w:tc>
          <w:tcPr>
            <w:tcW w:w="814" w:type="dxa"/>
            <w:shd w:val="clear" w:color="auto" w:fill="FFFFFF" w:themeFill="background1"/>
            <w:vAlign w:val="center"/>
          </w:tcPr>
          <w:p w:rsidR="00ED460E" w:rsidRPr="003F2951" w:rsidRDefault="00ED460E" w:rsidP="00ED460E">
            <w:pPr>
              <w:tabs>
                <w:tab w:val="center" w:pos="4819"/>
              </w:tabs>
              <w:jc w:val="center"/>
              <w:rPr>
                <w:rFonts w:cs="Arial"/>
                <w:sz w:val="18"/>
                <w:szCs w:val="18"/>
              </w:rPr>
            </w:pPr>
          </w:p>
        </w:tc>
      </w:tr>
    </w:tbl>
    <w:p w:rsidR="00ED460E" w:rsidRPr="003F2951" w:rsidRDefault="00ED460E" w:rsidP="00ED460E">
      <w:pPr>
        <w:rPr>
          <w:rFonts w:cs="Arial"/>
          <w:bCs/>
        </w:rPr>
      </w:pPr>
    </w:p>
    <w:p w:rsidR="00ED460E" w:rsidRPr="003F2951" w:rsidRDefault="00ED460E" w:rsidP="00ED460E">
      <w:pPr>
        <w:rPr>
          <w:rFonts w:cs="Arial"/>
        </w:rPr>
      </w:pPr>
      <w:r w:rsidRPr="003F2951">
        <w:rPr>
          <w:rFonts w:cs="Arial"/>
        </w:rPr>
        <w:br w:type="page"/>
      </w:r>
    </w:p>
    <w:p w:rsidR="00ED460E" w:rsidRPr="009078E7" w:rsidRDefault="00ED460E" w:rsidP="0076585B">
      <w:pPr>
        <w:pStyle w:val="berschrift2"/>
      </w:pPr>
      <w:bookmarkStart w:id="69" w:name="_Toc71879431"/>
      <w:r w:rsidRPr="009078E7">
        <w:lastRenderedPageBreak/>
        <w:t>ANHANG 2: Vorgehen TZ-Einteilung und Gebührenberechnung</w:t>
      </w:r>
      <w:bookmarkEnd w:id="69"/>
    </w:p>
    <w:p w:rsidR="00ED460E" w:rsidRPr="002B7200" w:rsidRDefault="00ED460E" w:rsidP="00243889"/>
    <w:p w:rsidR="00ED460E" w:rsidRPr="002B7200" w:rsidRDefault="00ED460E" w:rsidP="00243889">
      <w:pPr>
        <w:ind w:left="993" w:hanging="993"/>
      </w:pPr>
      <w:r w:rsidRPr="002B7200">
        <w:rPr>
          <w:b/>
        </w:rPr>
        <w:t>Beispiel:</w:t>
      </w:r>
      <w:r w:rsidRPr="002B7200">
        <w:tab/>
        <w:t>Haus mit drei bewohnbaren Geschossen, zwei Wohnungen; Dach- und Vorplatzfläche mit insgesamt 200 m</w:t>
      </w:r>
      <w:r w:rsidRPr="002B7200">
        <w:rPr>
          <w:vertAlign w:val="superscript"/>
        </w:rPr>
        <w:t>2</w:t>
      </w:r>
      <w:r w:rsidRPr="002B7200">
        <w:t xml:space="preserve"> an öffentlicher Kanalisation angeschlossen; Grundbuchfläche</w:t>
      </w:r>
      <w:r>
        <w:t xml:space="preserve"> (GF)</w:t>
      </w:r>
      <w:r w:rsidRPr="002B7200">
        <w:t xml:space="preserve"> 1’200 m</w:t>
      </w:r>
      <w:r w:rsidRPr="002B7200">
        <w:rPr>
          <w:vertAlign w:val="superscript"/>
        </w:rPr>
        <w:t>2</w:t>
      </w:r>
      <w:r w:rsidRPr="002B7200">
        <w:t xml:space="preserve">. Jährlicher </w:t>
      </w:r>
      <w:r>
        <w:t>Wasserverbrauch (W2)</w:t>
      </w:r>
      <w:r w:rsidRPr="002B7200">
        <w:t xml:space="preserve"> 300 m³. </w:t>
      </w:r>
    </w:p>
    <w:p w:rsidR="00ED460E" w:rsidRPr="002B7200" w:rsidRDefault="00ED460E" w:rsidP="00243889"/>
    <w:p w:rsidR="00ED460E" w:rsidRPr="002B7200" w:rsidRDefault="00ED460E" w:rsidP="00243889">
      <w:pPr>
        <w:pStyle w:val="Listenabsatz"/>
        <w:numPr>
          <w:ilvl w:val="1"/>
          <w:numId w:val="9"/>
        </w:numPr>
        <w:spacing w:after="120" w:line="280" w:lineRule="atLeast"/>
        <w:ind w:left="284" w:hanging="284"/>
        <w:contextualSpacing w:val="0"/>
        <w:rPr>
          <w:lang w:val="de-CH"/>
        </w:rPr>
      </w:pPr>
      <w:r w:rsidRPr="002B7200">
        <w:rPr>
          <w:lang w:val="de-CH"/>
        </w:rPr>
        <w:t xml:space="preserve">Grundeinteilung gemäss Art. </w:t>
      </w:r>
      <w:r>
        <w:rPr>
          <w:lang w:val="de-CH"/>
        </w:rPr>
        <w:t>20</w:t>
      </w:r>
      <w:r w:rsidRPr="002B7200">
        <w:rPr>
          <w:lang w:val="de-CH"/>
        </w:rPr>
        <w:t xml:space="preserve"> </w:t>
      </w:r>
      <w:r>
        <w:rPr>
          <w:lang w:val="de-CH"/>
        </w:rPr>
        <w:t>AR</w:t>
      </w:r>
      <w:r w:rsidRPr="002B7200">
        <w:rPr>
          <w:lang w:val="de-CH"/>
        </w:rPr>
        <w:t xml:space="preserve">: </w:t>
      </w:r>
      <w:r w:rsidRPr="002B7200">
        <w:rPr>
          <w:lang w:val="de-CH"/>
        </w:rPr>
        <w:br/>
      </w:r>
      <w:r w:rsidRPr="00FB2BE1">
        <w:rPr>
          <w:i/>
          <w:lang w:val="de-CH"/>
        </w:rPr>
        <w:t xml:space="preserve">Grundstücke mit </w:t>
      </w:r>
      <w:r>
        <w:rPr>
          <w:i/>
          <w:lang w:val="de-CH"/>
        </w:rPr>
        <w:t>drei</w:t>
      </w:r>
      <w:r w:rsidRPr="00FB2BE1">
        <w:rPr>
          <w:i/>
          <w:lang w:val="de-CH"/>
        </w:rPr>
        <w:t>geschossigen Wohnbauten, mittlerer Versiegelungsgrad 35</w:t>
      </w:r>
      <w:r>
        <w:rPr>
          <w:i/>
          <w:lang w:val="de-CH"/>
        </w:rPr>
        <w:t xml:space="preserve"> </w:t>
      </w:r>
      <w:r w:rsidRPr="00FB2BE1">
        <w:rPr>
          <w:i/>
          <w:lang w:val="de-CH"/>
        </w:rPr>
        <w:t>%</w:t>
      </w:r>
      <w:r w:rsidRPr="002B7200">
        <w:rPr>
          <w:lang w:val="de-CH"/>
        </w:rPr>
        <w:br/>
      </w:r>
      <w:r>
        <w:rPr>
          <w:lang w:val="de-CH"/>
        </w:rPr>
        <w:t>Tarifzonen-Grundeinteilung:</w:t>
      </w:r>
      <w:r w:rsidRPr="002B7200">
        <w:rPr>
          <w:lang w:val="de-CH"/>
        </w:rPr>
        <w:t xml:space="preserve"> </w:t>
      </w:r>
      <w:r>
        <w:rPr>
          <w:lang w:val="de-CH"/>
        </w:rPr>
        <w:t xml:space="preserve">TZ </w:t>
      </w:r>
      <w:r w:rsidRPr="002B7200">
        <w:rPr>
          <w:lang w:val="de-CH"/>
        </w:rPr>
        <w:t>5</w:t>
      </w:r>
    </w:p>
    <w:p w:rsidR="00ED460E" w:rsidRPr="00E34165" w:rsidRDefault="00ED460E" w:rsidP="00243889">
      <w:pPr>
        <w:pStyle w:val="Listenabsatz"/>
        <w:spacing w:after="120" w:line="280" w:lineRule="atLeast"/>
        <w:ind w:left="0"/>
        <w:contextualSpacing w:val="0"/>
        <w:rPr>
          <w:lang w:val="de-CH"/>
        </w:rPr>
      </w:pPr>
      <w:r w:rsidRPr="002B7200">
        <w:rPr>
          <w:lang w:val="de-CH"/>
        </w:rPr>
        <w:t xml:space="preserve">Gemäss </w:t>
      </w:r>
      <w:r w:rsidRPr="00E34165">
        <w:rPr>
          <w:lang w:val="de-CH"/>
        </w:rPr>
        <w:t xml:space="preserve">Art. </w:t>
      </w:r>
      <w:r>
        <w:rPr>
          <w:lang w:val="de-CH"/>
        </w:rPr>
        <w:t>20</w:t>
      </w:r>
      <w:r w:rsidRPr="00E34165">
        <w:rPr>
          <w:lang w:val="de-CH"/>
        </w:rPr>
        <w:t xml:space="preserve"> Abs. 4 AR wird die die Tarifzonen-Grundeinteilung über Zuschläge und Abzüge verursachergerecht korrigiert. Art. </w:t>
      </w:r>
      <w:r>
        <w:rPr>
          <w:lang w:val="de-CH"/>
        </w:rPr>
        <w:t>8</w:t>
      </w:r>
      <w:r w:rsidRPr="00E34165">
        <w:rPr>
          <w:lang w:val="de-CH"/>
        </w:rPr>
        <w:t xml:space="preserve"> beschreibt die Korrekturkriterien. </w:t>
      </w:r>
    </w:p>
    <w:p w:rsidR="00ED460E" w:rsidRPr="00E34165" w:rsidRDefault="00ED460E" w:rsidP="00243889">
      <w:pPr>
        <w:pStyle w:val="Listenabsatz"/>
        <w:numPr>
          <w:ilvl w:val="1"/>
          <w:numId w:val="9"/>
        </w:numPr>
        <w:spacing w:after="120" w:line="280" w:lineRule="atLeast"/>
        <w:ind w:left="284" w:hanging="284"/>
        <w:contextualSpacing w:val="0"/>
        <w:rPr>
          <w:lang w:val="de-CH"/>
        </w:rPr>
      </w:pPr>
      <w:r w:rsidRPr="00E34165">
        <w:rPr>
          <w:lang w:val="de-CH"/>
        </w:rPr>
        <w:t xml:space="preserve"> Art. </w:t>
      </w:r>
      <w:r>
        <w:rPr>
          <w:lang w:val="de-CH"/>
        </w:rPr>
        <w:t>8</w:t>
      </w:r>
      <w:r w:rsidRPr="00E34165">
        <w:rPr>
          <w:lang w:val="de-CH"/>
        </w:rPr>
        <w:t xml:space="preserve"> Abs. 2: Eigenleistungen und Versiegelungsgrad</w:t>
      </w:r>
      <w:r w:rsidRPr="00E34165">
        <w:rPr>
          <w:lang w:val="de-CH"/>
        </w:rPr>
        <w:br/>
        <w:t>Der Versiegelungsgrad liegt mit 16.7 % (200 m</w:t>
      </w:r>
      <w:r w:rsidRPr="00E34165">
        <w:rPr>
          <w:vertAlign w:val="superscript"/>
          <w:lang w:val="de-CH"/>
        </w:rPr>
        <w:t>2</w:t>
      </w:r>
      <w:r w:rsidRPr="00E34165">
        <w:rPr>
          <w:lang w:val="de-CH"/>
        </w:rPr>
        <w:t xml:space="preserve"> / 1’200 m</w:t>
      </w:r>
      <w:r w:rsidRPr="00E34165">
        <w:rPr>
          <w:vertAlign w:val="superscript"/>
          <w:lang w:val="de-CH"/>
        </w:rPr>
        <w:t>2</w:t>
      </w:r>
      <w:r w:rsidRPr="00E34165">
        <w:rPr>
          <w:lang w:val="de-CH"/>
        </w:rPr>
        <w:t>) unter dem Mittelwert gemäss Reglement (35 %), abzüglich 10 % Toleranz</w:t>
      </w:r>
      <w:r w:rsidRPr="00E34165">
        <w:rPr>
          <w:lang w:val="de-CH"/>
        </w:rPr>
        <w:br/>
        <w:t>=&gt; Reduktion</w:t>
      </w:r>
      <w:r>
        <w:rPr>
          <w:lang w:val="de-CH"/>
        </w:rPr>
        <w:t xml:space="preserve"> </w:t>
      </w:r>
      <w:r w:rsidRPr="00E34165">
        <w:rPr>
          <w:lang w:val="de-CH"/>
        </w:rPr>
        <w:t xml:space="preserve">um -1 </w:t>
      </w:r>
      <w:r>
        <w:rPr>
          <w:lang w:val="de-CH"/>
        </w:rPr>
        <w:t>TZ</w:t>
      </w:r>
    </w:p>
    <w:p w:rsidR="00ED460E" w:rsidRPr="00E34165" w:rsidRDefault="00ED460E" w:rsidP="00243889">
      <w:pPr>
        <w:pStyle w:val="Listenabsatz"/>
        <w:numPr>
          <w:ilvl w:val="1"/>
          <w:numId w:val="9"/>
        </w:numPr>
        <w:spacing w:after="120" w:line="280" w:lineRule="atLeast"/>
        <w:ind w:left="284" w:hanging="284"/>
        <w:contextualSpacing w:val="0"/>
        <w:rPr>
          <w:lang w:val="de-CH"/>
        </w:rPr>
      </w:pPr>
      <w:r w:rsidRPr="00E34165">
        <w:rPr>
          <w:lang w:val="de-CH"/>
        </w:rPr>
        <w:t xml:space="preserve"> Art. </w:t>
      </w:r>
      <w:r>
        <w:rPr>
          <w:lang w:val="de-CH"/>
        </w:rPr>
        <w:t>8</w:t>
      </w:r>
      <w:r w:rsidRPr="00E34165">
        <w:rPr>
          <w:lang w:val="de-CH"/>
        </w:rPr>
        <w:t xml:space="preserve"> Abs. 3: Für Grundstücke mit </w:t>
      </w:r>
      <w:r>
        <w:rPr>
          <w:lang w:val="de-CH"/>
        </w:rPr>
        <w:t>Tarifzonen-Grundeinteilung</w:t>
      </w:r>
      <w:r w:rsidRPr="00E34165">
        <w:rPr>
          <w:lang w:val="de-CH"/>
        </w:rPr>
        <w:t xml:space="preserve"> in </w:t>
      </w:r>
      <w:r>
        <w:rPr>
          <w:lang w:val="de-CH"/>
        </w:rPr>
        <w:t xml:space="preserve">TZ </w:t>
      </w:r>
      <w:r w:rsidRPr="00E34165">
        <w:rPr>
          <w:lang w:val="de-CH"/>
        </w:rPr>
        <w:t xml:space="preserve">5 liegt die durchschnittliche Anzahl Wohnungen zwischen 2 und 4. Im Beispiel ist die Anzahl Wohnungen 2 </w:t>
      </w:r>
      <w:r w:rsidRPr="00E34165">
        <w:rPr>
          <w:lang w:val="de-CH"/>
        </w:rPr>
        <w:br/>
        <w:t xml:space="preserve">=&gt; KEINE Korrektur </w:t>
      </w:r>
    </w:p>
    <w:p w:rsidR="00ED460E" w:rsidRPr="00E34165" w:rsidRDefault="00ED460E" w:rsidP="00243889">
      <w:pPr>
        <w:pStyle w:val="Listenabsatz"/>
        <w:numPr>
          <w:ilvl w:val="1"/>
          <w:numId w:val="9"/>
        </w:numPr>
        <w:spacing w:after="120" w:line="280" w:lineRule="atLeast"/>
        <w:ind w:left="284" w:hanging="284"/>
        <w:contextualSpacing w:val="0"/>
        <w:rPr>
          <w:lang w:val="de-CH"/>
        </w:rPr>
      </w:pPr>
      <w:r w:rsidRPr="00E34165">
        <w:rPr>
          <w:lang w:val="de-CH"/>
        </w:rPr>
        <w:t xml:space="preserve"> Art. </w:t>
      </w:r>
      <w:r>
        <w:rPr>
          <w:lang w:val="de-CH"/>
        </w:rPr>
        <w:t>8</w:t>
      </w:r>
      <w:r w:rsidRPr="00E34165">
        <w:rPr>
          <w:lang w:val="de-CH"/>
        </w:rPr>
        <w:t xml:space="preserve"> Abs. 4: Der Verschmutzungsgrad des Abwassers entspricht häuslichem Abwasser </w:t>
      </w:r>
      <w:r w:rsidRPr="00E34165">
        <w:rPr>
          <w:lang w:val="de-CH"/>
        </w:rPr>
        <w:br/>
        <w:t xml:space="preserve">=&gt; KEINE Korrektur </w:t>
      </w:r>
    </w:p>
    <w:p w:rsidR="00ED460E" w:rsidRPr="002B7200" w:rsidRDefault="00ED460E" w:rsidP="00243889">
      <w:pPr>
        <w:pStyle w:val="Listenabsatz"/>
        <w:numPr>
          <w:ilvl w:val="1"/>
          <w:numId w:val="9"/>
        </w:numPr>
        <w:spacing w:line="280" w:lineRule="atLeast"/>
        <w:ind w:left="284" w:hanging="284"/>
        <w:contextualSpacing w:val="0"/>
        <w:rPr>
          <w:lang w:val="de-CH"/>
        </w:rPr>
      </w:pPr>
      <w:r w:rsidRPr="00E34165">
        <w:rPr>
          <w:lang w:val="de-CH"/>
        </w:rPr>
        <w:t xml:space="preserve"> Art. </w:t>
      </w:r>
      <w:r>
        <w:rPr>
          <w:lang w:val="de-CH"/>
        </w:rPr>
        <w:t>8</w:t>
      </w:r>
      <w:r w:rsidRPr="00E34165">
        <w:rPr>
          <w:lang w:val="de-CH"/>
        </w:rPr>
        <w:t xml:space="preserve"> Abs. 5: Im Beispielgrundstück</w:t>
      </w:r>
      <w:r w:rsidRPr="002B7200">
        <w:rPr>
          <w:lang w:val="de-CH"/>
        </w:rPr>
        <w:t xml:space="preserve"> liegen keine aussergewöhnlichen Verhältnisse</w:t>
      </w:r>
      <w:r>
        <w:rPr>
          <w:lang w:val="de-CH"/>
        </w:rPr>
        <w:t>,</w:t>
      </w:r>
      <w:r w:rsidRPr="002B7200">
        <w:rPr>
          <w:lang w:val="de-CH"/>
        </w:rPr>
        <w:t xml:space="preserve"> wie </w:t>
      </w:r>
      <w:r>
        <w:rPr>
          <w:lang w:val="de-CH"/>
        </w:rPr>
        <w:t xml:space="preserve">unverhältnismässig </w:t>
      </w:r>
      <w:r w:rsidRPr="002B7200">
        <w:rPr>
          <w:lang w:val="de-CH"/>
        </w:rPr>
        <w:t xml:space="preserve">geringe Grundstücksfläche oder saisonale Nutzung usw. vor </w:t>
      </w:r>
      <w:r w:rsidRPr="002B7200">
        <w:rPr>
          <w:lang w:val="de-CH"/>
        </w:rPr>
        <w:br/>
        <w:t xml:space="preserve">=&gt; KEINE Korrektur </w:t>
      </w:r>
    </w:p>
    <w:p w:rsidR="00ED460E" w:rsidRPr="002B7200" w:rsidRDefault="00ED460E" w:rsidP="00ED460E">
      <w:pPr>
        <w:jc w:val="both"/>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277"/>
      </w:tblGrid>
      <w:tr w:rsidR="00ED460E" w:rsidRPr="002B7200" w:rsidTr="0076585B">
        <w:trPr>
          <w:trHeight w:val="284"/>
        </w:trPr>
        <w:tc>
          <w:tcPr>
            <w:tcW w:w="4530" w:type="dxa"/>
            <w:vAlign w:val="center"/>
          </w:tcPr>
          <w:p w:rsidR="00ED460E" w:rsidRPr="002B7200" w:rsidRDefault="00ED460E" w:rsidP="00ED460E">
            <w:pPr>
              <w:jc w:val="both"/>
              <w:rPr>
                <w:b/>
                <w:sz w:val="18"/>
                <w:szCs w:val="18"/>
              </w:rPr>
            </w:pPr>
            <w:r w:rsidRPr="002B7200">
              <w:rPr>
                <w:b/>
                <w:sz w:val="18"/>
                <w:szCs w:val="18"/>
              </w:rPr>
              <w:t>Kommentar</w:t>
            </w:r>
          </w:p>
        </w:tc>
        <w:tc>
          <w:tcPr>
            <w:tcW w:w="1277" w:type="dxa"/>
            <w:vAlign w:val="center"/>
          </w:tcPr>
          <w:p w:rsidR="00ED460E" w:rsidRPr="002B7200" w:rsidRDefault="00ED460E" w:rsidP="00ED460E">
            <w:pPr>
              <w:jc w:val="center"/>
              <w:rPr>
                <w:b/>
                <w:sz w:val="18"/>
                <w:szCs w:val="18"/>
              </w:rPr>
            </w:pPr>
            <w:r>
              <w:rPr>
                <w:b/>
                <w:sz w:val="18"/>
                <w:szCs w:val="18"/>
              </w:rPr>
              <w:t>TZ</w:t>
            </w:r>
          </w:p>
        </w:tc>
      </w:tr>
      <w:tr w:rsidR="00ED460E" w:rsidRPr="002B7200" w:rsidTr="0076585B">
        <w:trPr>
          <w:trHeight w:val="284"/>
        </w:trPr>
        <w:tc>
          <w:tcPr>
            <w:tcW w:w="4530" w:type="dxa"/>
            <w:vAlign w:val="center"/>
          </w:tcPr>
          <w:p w:rsidR="00ED460E" w:rsidRPr="002B7200" w:rsidRDefault="00ED460E" w:rsidP="00ED460E">
            <w:pPr>
              <w:jc w:val="both"/>
              <w:rPr>
                <w:sz w:val="18"/>
                <w:szCs w:val="18"/>
              </w:rPr>
            </w:pPr>
            <w:r w:rsidRPr="002B7200">
              <w:rPr>
                <w:sz w:val="18"/>
                <w:szCs w:val="18"/>
              </w:rPr>
              <w:t>a) Grundeinteilung</w:t>
            </w:r>
          </w:p>
        </w:tc>
        <w:tc>
          <w:tcPr>
            <w:tcW w:w="1277" w:type="dxa"/>
            <w:vAlign w:val="center"/>
          </w:tcPr>
          <w:p w:rsidR="00ED460E" w:rsidRPr="002B7200" w:rsidRDefault="00ED460E" w:rsidP="00ED460E">
            <w:pPr>
              <w:jc w:val="center"/>
              <w:rPr>
                <w:sz w:val="18"/>
                <w:szCs w:val="18"/>
              </w:rPr>
            </w:pPr>
            <w:r w:rsidRPr="002B7200">
              <w:rPr>
                <w:sz w:val="18"/>
                <w:szCs w:val="18"/>
              </w:rPr>
              <w:t>5</w:t>
            </w:r>
          </w:p>
        </w:tc>
      </w:tr>
      <w:tr w:rsidR="00ED460E" w:rsidRPr="002B7200" w:rsidTr="0076585B">
        <w:trPr>
          <w:trHeight w:val="284"/>
        </w:trPr>
        <w:tc>
          <w:tcPr>
            <w:tcW w:w="4530" w:type="dxa"/>
            <w:vAlign w:val="center"/>
          </w:tcPr>
          <w:p w:rsidR="00ED460E" w:rsidRPr="002B7200" w:rsidRDefault="00ED460E" w:rsidP="00ED460E">
            <w:pPr>
              <w:jc w:val="both"/>
              <w:rPr>
                <w:sz w:val="18"/>
                <w:szCs w:val="18"/>
              </w:rPr>
            </w:pPr>
            <w:r w:rsidRPr="002B7200">
              <w:rPr>
                <w:sz w:val="18"/>
                <w:szCs w:val="18"/>
              </w:rPr>
              <w:t>b) Versiegelungsgrad (Regenwasser)</w:t>
            </w:r>
          </w:p>
        </w:tc>
        <w:tc>
          <w:tcPr>
            <w:tcW w:w="1277" w:type="dxa"/>
            <w:vAlign w:val="center"/>
          </w:tcPr>
          <w:p w:rsidR="00ED460E" w:rsidRPr="002B7200" w:rsidRDefault="00ED460E" w:rsidP="00ED460E">
            <w:pPr>
              <w:jc w:val="center"/>
              <w:rPr>
                <w:sz w:val="18"/>
                <w:szCs w:val="18"/>
              </w:rPr>
            </w:pPr>
            <w:r w:rsidRPr="002B7200">
              <w:rPr>
                <w:sz w:val="18"/>
                <w:szCs w:val="18"/>
              </w:rPr>
              <w:t>- 1</w:t>
            </w:r>
          </w:p>
        </w:tc>
      </w:tr>
      <w:tr w:rsidR="00ED460E" w:rsidRPr="002B7200" w:rsidTr="0076585B">
        <w:trPr>
          <w:trHeight w:val="284"/>
        </w:trPr>
        <w:tc>
          <w:tcPr>
            <w:tcW w:w="4530" w:type="dxa"/>
            <w:vAlign w:val="center"/>
          </w:tcPr>
          <w:p w:rsidR="00ED460E" w:rsidRPr="002B7200" w:rsidRDefault="00ED460E" w:rsidP="00ED460E">
            <w:pPr>
              <w:jc w:val="both"/>
              <w:rPr>
                <w:sz w:val="18"/>
                <w:szCs w:val="18"/>
              </w:rPr>
            </w:pPr>
            <w:r w:rsidRPr="002B7200">
              <w:rPr>
                <w:sz w:val="18"/>
                <w:szCs w:val="18"/>
              </w:rPr>
              <w:t>c) Anzahl Wohneinheiten (Zähler)</w:t>
            </w:r>
          </w:p>
        </w:tc>
        <w:tc>
          <w:tcPr>
            <w:tcW w:w="1277" w:type="dxa"/>
            <w:vAlign w:val="center"/>
          </w:tcPr>
          <w:p w:rsidR="00ED460E" w:rsidRPr="002B7200" w:rsidRDefault="00ED460E" w:rsidP="00ED460E">
            <w:pPr>
              <w:jc w:val="center"/>
              <w:rPr>
                <w:sz w:val="18"/>
                <w:szCs w:val="18"/>
              </w:rPr>
            </w:pPr>
            <w:r w:rsidRPr="002B7200">
              <w:rPr>
                <w:sz w:val="18"/>
                <w:szCs w:val="18"/>
              </w:rPr>
              <w:t>+/- 0</w:t>
            </w:r>
          </w:p>
        </w:tc>
      </w:tr>
      <w:tr w:rsidR="00ED460E" w:rsidRPr="002B7200" w:rsidTr="0076585B">
        <w:trPr>
          <w:trHeight w:val="284"/>
        </w:trPr>
        <w:tc>
          <w:tcPr>
            <w:tcW w:w="4530" w:type="dxa"/>
            <w:vAlign w:val="center"/>
          </w:tcPr>
          <w:p w:rsidR="00ED460E" w:rsidRPr="002B7200" w:rsidRDefault="00ED460E" w:rsidP="00ED460E">
            <w:pPr>
              <w:jc w:val="both"/>
              <w:rPr>
                <w:sz w:val="18"/>
                <w:szCs w:val="18"/>
              </w:rPr>
            </w:pPr>
            <w:r w:rsidRPr="002B7200">
              <w:rPr>
                <w:sz w:val="18"/>
                <w:szCs w:val="18"/>
              </w:rPr>
              <w:t xml:space="preserve">d) </w:t>
            </w:r>
            <w:r>
              <w:rPr>
                <w:sz w:val="18"/>
                <w:szCs w:val="18"/>
              </w:rPr>
              <w:t>Verschmutzungsgrad</w:t>
            </w:r>
          </w:p>
        </w:tc>
        <w:tc>
          <w:tcPr>
            <w:tcW w:w="1277" w:type="dxa"/>
            <w:vAlign w:val="center"/>
          </w:tcPr>
          <w:p w:rsidR="00ED460E" w:rsidRPr="002B7200" w:rsidRDefault="00ED460E" w:rsidP="00ED460E">
            <w:pPr>
              <w:jc w:val="center"/>
              <w:rPr>
                <w:sz w:val="18"/>
                <w:szCs w:val="18"/>
              </w:rPr>
            </w:pPr>
            <w:r w:rsidRPr="002B7200">
              <w:rPr>
                <w:sz w:val="18"/>
                <w:szCs w:val="18"/>
              </w:rPr>
              <w:t>+/- 0</w:t>
            </w:r>
          </w:p>
        </w:tc>
      </w:tr>
      <w:tr w:rsidR="00ED460E" w:rsidRPr="002B7200" w:rsidTr="0076585B">
        <w:trPr>
          <w:trHeight w:val="284"/>
        </w:trPr>
        <w:tc>
          <w:tcPr>
            <w:tcW w:w="4530" w:type="dxa"/>
            <w:vAlign w:val="center"/>
          </w:tcPr>
          <w:p w:rsidR="00ED460E" w:rsidRPr="002B7200" w:rsidRDefault="00ED460E" w:rsidP="00ED460E">
            <w:pPr>
              <w:jc w:val="both"/>
              <w:rPr>
                <w:sz w:val="18"/>
                <w:szCs w:val="18"/>
              </w:rPr>
            </w:pPr>
            <w:r w:rsidRPr="002B7200">
              <w:rPr>
                <w:sz w:val="18"/>
                <w:szCs w:val="18"/>
              </w:rPr>
              <w:t xml:space="preserve">e) </w:t>
            </w:r>
            <w:r>
              <w:rPr>
                <w:sz w:val="18"/>
                <w:szCs w:val="18"/>
              </w:rPr>
              <w:t>Besondere</w:t>
            </w:r>
            <w:r w:rsidRPr="002B7200">
              <w:rPr>
                <w:sz w:val="18"/>
                <w:szCs w:val="18"/>
              </w:rPr>
              <w:t xml:space="preserve"> Verhältnisse</w:t>
            </w:r>
          </w:p>
        </w:tc>
        <w:tc>
          <w:tcPr>
            <w:tcW w:w="1277" w:type="dxa"/>
            <w:vAlign w:val="center"/>
          </w:tcPr>
          <w:p w:rsidR="00ED460E" w:rsidRPr="002B7200" w:rsidRDefault="00ED460E" w:rsidP="00ED460E">
            <w:pPr>
              <w:jc w:val="center"/>
              <w:rPr>
                <w:sz w:val="18"/>
                <w:szCs w:val="18"/>
              </w:rPr>
            </w:pPr>
            <w:r w:rsidRPr="002B7200">
              <w:rPr>
                <w:sz w:val="18"/>
                <w:szCs w:val="18"/>
              </w:rPr>
              <w:t>+/- 0</w:t>
            </w:r>
          </w:p>
        </w:tc>
      </w:tr>
      <w:tr w:rsidR="00ED460E" w:rsidRPr="002B7200" w:rsidTr="0076585B">
        <w:trPr>
          <w:trHeight w:val="284"/>
        </w:trPr>
        <w:tc>
          <w:tcPr>
            <w:tcW w:w="4530" w:type="dxa"/>
            <w:vAlign w:val="center"/>
          </w:tcPr>
          <w:p w:rsidR="00ED460E" w:rsidRPr="002B7200" w:rsidRDefault="00ED460E" w:rsidP="00ED460E">
            <w:pPr>
              <w:jc w:val="both"/>
              <w:rPr>
                <w:b/>
                <w:sz w:val="18"/>
                <w:szCs w:val="18"/>
              </w:rPr>
            </w:pPr>
            <w:r w:rsidRPr="002B7200">
              <w:rPr>
                <w:b/>
                <w:sz w:val="18"/>
                <w:szCs w:val="18"/>
              </w:rPr>
              <w:t xml:space="preserve">Einteilung in </w:t>
            </w:r>
            <w:r>
              <w:rPr>
                <w:b/>
                <w:sz w:val="18"/>
                <w:szCs w:val="18"/>
              </w:rPr>
              <w:t>TZ</w:t>
            </w:r>
            <w:r w:rsidRPr="002B7200">
              <w:rPr>
                <w:b/>
                <w:sz w:val="18"/>
                <w:szCs w:val="18"/>
              </w:rPr>
              <w:t>:</w:t>
            </w:r>
          </w:p>
        </w:tc>
        <w:tc>
          <w:tcPr>
            <w:tcW w:w="1277" w:type="dxa"/>
            <w:vAlign w:val="center"/>
          </w:tcPr>
          <w:p w:rsidR="00ED460E" w:rsidRPr="002B7200" w:rsidRDefault="00ED460E" w:rsidP="00ED460E">
            <w:pPr>
              <w:jc w:val="center"/>
              <w:rPr>
                <w:b/>
                <w:sz w:val="18"/>
                <w:szCs w:val="18"/>
              </w:rPr>
            </w:pPr>
            <w:r w:rsidRPr="002B7200">
              <w:rPr>
                <w:b/>
                <w:sz w:val="18"/>
                <w:szCs w:val="18"/>
              </w:rPr>
              <w:t>4</w:t>
            </w:r>
          </w:p>
        </w:tc>
      </w:tr>
    </w:tbl>
    <w:p w:rsidR="00ED460E" w:rsidRPr="002B7200" w:rsidRDefault="00ED460E" w:rsidP="00ED460E"/>
    <w:p w:rsidR="00ED460E" w:rsidRPr="002B7200" w:rsidRDefault="00ED460E" w:rsidP="00243889">
      <w:pPr>
        <w:jc w:val="both"/>
      </w:pPr>
      <w:r w:rsidRPr="002B7200">
        <w:t xml:space="preserve">Das Beispielgrundstück wird der </w:t>
      </w:r>
      <w:r>
        <w:t>TZ</w:t>
      </w:r>
      <w:r w:rsidRPr="002B7200">
        <w:t xml:space="preserve"> 4 zugeteilt. Gemäss Art. </w:t>
      </w:r>
      <w:r>
        <w:t xml:space="preserve">20 AR </w:t>
      </w:r>
      <w:r w:rsidRPr="002B7200">
        <w:t xml:space="preserve">gilt für die </w:t>
      </w:r>
      <w:r>
        <w:t>TZ</w:t>
      </w:r>
      <w:r w:rsidRPr="002B7200">
        <w:t xml:space="preserve"> 4 der </w:t>
      </w:r>
      <w:r>
        <w:t>Tarifzonen-</w:t>
      </w:r>
      <w:r w:rsidRPr="002B7200">
        <w:t xml:space="preserve">Gewichtungsfaktor </w:t>
      </w:r>
      <w:r>
        <w:t xml:space="preserve">(TGF) </w:t>
      </w:r>
      <w:r w:rsidRPr="002B7200">
        <w:t>1.6.</w:t>
      </w:r>
    </w:p>
    <w:p w:rsidR="00ED460E" w:rsidRPr="002B7200" w:rsidRDefault="00ED460E" w:rsidP="00243889">
      <w:pPr>
        <w:jc w:val="both"/>
      </w:pPr>
    </w:p>
    <w:p w:rsidR="00ED460E" w:rsidRPr="002B7200" w:rsidRDefault="00ED460E" w:rsidP="00243889">
      <w:pPr>
        <w:jc w:val="both"/>
        <w:rPr>
          <w:b/>
        </w:rPr>
      </w:pPr>
      <w:r w:rsidRPr="002B7200">
        <w:rPr>
          <w:b/>
        </w:rPr>
        <w:t>Berechnung der Anschlussgebühr</w:t>
      </w:r>
      <w:r>
        <w:rPr>
          <w:b/>
        </w:rPr>
        <w:t xml:space="preserve"> gemäss Art. 23 AR</w:t>
      </w:r>
      <w:r w:rsidRPr="002B7200">
        <w:rPr>
          <w:b/>
        </w:rPr>
        <w:t>:</w:t>
      </w:r>
    </w:p>
    <w:p w:rsidR="00ED460E" w:rsidRPr="002B7200" w:rsidRDefault="00ED460E" w:rsidP="00243889">
      <w:pPr>
        <w:jc w:val="both"/>
      </w:pPr>
      <w:r w:rsidRPr="002B7200">
        <w:t>Anschlussgebühr = GF x TGF x AK gemäss Art. 3</w:t>
      </w:r>
    </w:p>
    <w:p w:rsidR="00ED460E" w:rsidRPr="002B7200" w:rsidRDefault="00ED460E" w:rsidP="00243889">
      <w:pPr>
        <w:jc w:val="both"/>
      </w:pPr>
      <w:r w:rsidRPr="002B7200">
        <w:t>Anschlussgebühr =</w:t>
      </w:r>
      <w:r w:rsidRPr="002B7200">
        <w:tab/>
        <w:t>1'200 m</w:t>
      </w:r>
      <w:r w:rsidRPr="002B7200">
        <w:rPr>
          <w:vertAlign w:val="superscript"/>
        </w:rPr>
        <w:t>2</w:t>
      </w:r>
      <w:r w:rsidRPr="002B7200">
        <w:t xml:space="preserve"> x 1.6 x</w:t>
      </w:r>
      <w:r>
        <w:t xml:space="preserve"> Fr.</w:t>
      </w:r>
      <w:r w:rsidRPr="00E34165">
        <w:rPr>
          <w:highlight w:val="lightGray"/>
        </w:rPr>
        <w:t xml:space="preserve"> 10.</w:t>
      </w:r>
      <w:r>
        <w:rPr>
          <w:highlight w:val="lightGray"/>
        </w:rPr>
        <w:t>00</w:t>
      </w:r>
      <w:r w:rsidRPr="002B7200">
        <w:t xml:space="preserve"> =</w:t>
      </w:r>
      <w:r>
        <w:t xml:space="preserve"> Fr.</w:t>
      </w:r>
      <w:r w:rsidRPr="002B7200">
        <w:t xml:space="preserve"> 19’200.</w:t>
      </w:r>
      <w:r>
        <w:t>–</w:t>
      </w:r>
    </w:p>
    <w:p w:rsidR="00ED460E" w:rsidRPr="002B7200" w:rsidRDefault="00ED460E" w:rsidP="00243889">
      <w:pPr>
        <w:jc w:val="both"/>
      </w:pPr>
    </w:p>
    <w:p w:rsidR="00ED460E" w:rsidRPr="002B7200" w:rsidRDefault="00ED460E" w:rsidP="00243889">
      <w:pPr>
        <w:jc w:val="both"/>
        <w:rPr>
          <w:b/>
        </w:rPr>
      </w:pPr>
      <w:r w:rsidRPr="002B7200">
        <w:rPr>
          <w:b/>
        </w:rPr>
        <w:t>Berechnung der Grundgebühr</w:t>
      </w:r>
      <w:r>
        <w:rPr>
          <w:b/>
        </w:rPr>
        <w:t xml:space="preserve"> gemäss Art 25 AR</w:t>
      </w:r>
      <w:r w:rsidRPr="002B7200">
        <w:rPr>
          <w:b/>
        </w:rPr>
        <w:t>:</w:t>
      </w:r>
    </w:p>
    <w:p w:rsidR="00ED460E" w:rsidRPr="002B7200" w:rsidRDefault="00ED460E" w:rsidP="00243889">
      <w:pPr>
        <w:jc w:val="both"/>
      </w:pPr>
      <w:r w:rsidRPr="002B7200">
        <w:t>Grundgebühr =</w:t>
      </w:r>
      <w:r w:rsidRPr="002B7200">
        <w:tab/>
        <w:t xml:space="preserve">GF x TGF x KG </w:t>
      </w:r>
      <w:r w:rsidRPr="00E34165">
        <w:t>gemäss Art. 4</w:t>
      </w:r>
    </w:p>
    <w:p w:rsidR="00ED460E" w:rsidRPr="002B7200" w:rsidRDefault="00ED460E" w:rsidP="00243889">
      <w:pPr>
        <w:jc w:val="both"/>
      </w:pPr>
      <w:r w:rsidRPr="002B7200">
        <w:t>Grundgebühr =</w:t>
      </w:r>
      <w:r w:rsidRPr="002B7200">
        <w:tab/>
        <w:t>1'200 m² x 1.6 x</w:t>
      </w:r>
      <w:r>
        <w:t xml:space="preserve"> Fr.</w:t>
      </w:r>
      <w:r w:rsidRPr="00E34165">
        <w:rPr>
          <w:highlight w:val="lightGray"/>
        </w:rPr>
        <w:t xml:space="preserve"> 0.10</w:t>
      </w:r>
      <w:r w:rsidRPr="002B7200">
        <w:t xml:space="preserve"> =</w:t>
      </w:r>
      <w:r>
        <w:t xml:space="preserve"> Fr.</w:t>
      </w:r>
      <w:r w:rsidRPr="002B7200">
        <w:t xml:space="preserve"> </w:t>
      </w:r>
      <w:r>
        <w:t>192</w:t>
      </w:r>
      <w:r w:rsidRPr="002B7200">
        <w:t>.</w:t>
      </w:r>
      <w:r>
        <w:t>–</w:t>
      </w:r>
    </w:p>
    <w:p w:rsidR="00ED460E" w:rsidRPr="002B7200" w:rsidRDefault="00ED460E" w:rsidP="00243889">
      <w:pPr>
        <w:jc w:val="both"/>
      </w:pPr>
    </w:p>
    <w:p w:rsidR="00ED460E" w:rsidRPr="002B7200" w:rsidRDefault="00ED460E" w:rsidP="00243889">
      <w:pPr>
        <w:jc w:val="both"/>
        <w:rPr>
          <w:b/>
        </w:rPr>
      </w:pPr>
      <w:r w:rsidRPr="002B7200">
        <w:rPr>
          <w:b/>
        </w:rPr>
        <w:t>Berechnung der Mengengebühr</w:t>
      </w:r>
      <w:r>
        <w:rPr>
          <w:b/>
        </w:rPr>
        <w:t xml:space="preserve"> gemäss Art. 25 AR</w:t>
      </w:r>
      <w:r w:rsidRPr="002B7200">
        <w:rPr>
          <w:b/>
        </w:rPr>
        <w:t>:</w:t>
      </w:r>
    </w:p>
    <w:p w:rsidR="00ED460E" w:rsidRPr="002B7200" w:rsidRDefault="00ED460E" w:rsidP="00243889">
      <w:pPr>
        <w:jc w:val="both"/>
      </w:pPr>
      <w:r w:rsidRPr="002B7200">
        <w:t>Mengengebühr =</w:t>
      </w:r>
      <w:r w:rsidRPr="002B7200">
        <w:tab/>
        <w:t xml:space="preserve">W2 x KW </w:t>
      </w:r>
      <w:r w:rsidRPr="00E34165">
        <w:t>gemäss Art. 4</w:t>
      </w:r>
    </w:p>
    <w:p w:rsidR="00ED460E" w:rsidRPr="002B7200" w:rsidRDefault="00ED460E" w:rsidP="00243889">
      <w:pPr>
        <w:jc w:val="both"/>
      </w:pPr>
      <w:r w:rsidRPr="002B7200">
        <w:t>Mengengebühr =</w:t>
      </w:r>
      <w:r w:rsidRPr="002B7200">
        <w:tab/>
        <w:t>300 m³ x</w:t>
      </w:r>
      <w:r>
        <w:t xml:space="preserve"> Fr.</w:t>
      </w:r>
      <w:r w:rsidRPr="00E34165">
        <w:rPr>
          <w:highlight w:val="lightGray"/>
        </w:rPr>
        <w:t xml:space="preserve"> 1.50</w:t>
      </w:r>
      <w:r w:rsidRPr="002B7200">
        <w:t xml:space="preserve"> pro m³ =</w:t>
      </w:r>
      <w:r>
        <w:t xml:space="preserve"> Fr.</w:t>
      </w:r>
      <w:r w:rsidRPr="002B7200">
        <w:t xml:space="preserve"> </w:t>
      </w:r>
      <w:r>
        <w:t>450</w:t>
      </w:r>
      <w:r w:rsidRPr="002B7200">
        <w:t>.</w:t>
      </w:r>
      <w:r>
        <w:t>–</w:t>
      </w:r>
    </w:p>
    <w:p w:rsidR="00ED460E" w:rsidRPr="002B7200" w:rsidRDefault="00ED460E" w:rsidP="00243889">
      <w:pPr>
        <w:jc w:val="both"/>
      </w:pPr>
    </w:p>
    <w:p w:rsidR="00ED460E" w:rsidRPr="002B7200" w:rsidRDefault="00ED460E" w:rsidP="00243889">
      <w:r w:rsidRPr="002B7200">
        <w:lastRenderedPageBreak/>
        <w:t>Betriebsgebühr =</w:t>
      </w:r>
      <w:r w:rsidRPr="002B7200">
        <w:tab/>
        <w:t>Grundgebühr + Mengengebühr</w:t>
      </w:r>
      <w:bookmarkStart w:id="70" w:name="_GoBack"/>
      <w:bookmarkEnd w:id="70"/>
    </w:p>
    <w:p w:rsidR="00ED460E" w:rsidRPr="002B7200" w:rsidRDefault="00ED460E" w:rsidP="00243889">
      <w:r w:rsidRPr="002B7200">
        <w:t>Betriebsgebühr =</w:t>
      </w:r>
      <w:r w:rsidRPr="002B7200">
        <w:tab/>
      </w:r>
      <w:r>
        <w:t>Fr.</w:t>
      </w:r>
      <w:r w:rsidRPr="002B7200">
        <w:t xml:space="preserve"> </w:t>
      </w:r>
      <w:r>
        <w:t>192</w:t>
      </w:r>
      <w:r w:rsidRPr="002B7200">
        <w:t>.</w:t>
      </w:r>
      <w:r w:rsidR="00CF07A2">
        <w:t>–</w:t>
      </w:r>
      <w:r w:rsidRPr="002B7200">
        <w:t xml:space="preserve"> +</w:t>
      </w:r>
      <w:r>
        <w:t xml:space="preserve"> Fr.</w:t>
      </w:r>
      <w:r w:rsidRPr="002B7200">
        <w:t xml:space="preserve"> </w:t>
      </w:r>
      <w:r>
        <w:t>45</w:t>
      </w:r>
      <w:r w:rsidRPr="002B7200">
        <w:t>0.</w:t>
      </w:r>
      <w:r w:rsidR="00CF07A2">
        <w:t>–</w:t>
      </w:r>
      <w:r w:rsidRPr="002B7200">
        <w:t xml:space="preserve"> =</w:t>
      </w:r>
      <w:r>
        <w:t xml:space="preserve"> Fr.</w:t>
      </w:r>
      <w:r w:rsidRPr="002B7200">
        <w:t xml:space="preserve"> </w:t>
      </w:r>
      <w:r>
        <w:t>642</w:t>
      </w:r>
      <w:r w:rsidRPr="002B7200">
        <w:t>.</w:t>
      </w:r>
      <w:r w:rsidR="00CF07A2">
        <w:t>–</w:t>
      </w:r>
    </w:p>
    <w:p w:rsidR="00ED460E" w:rsidRPr="002B7200" w:rsidRDefault="00ED460E" w:rsidP="00243889"/>
    <w:p w:rsidR="00ED460E" w:rsidRPr="002A1457" w:rsidRDefault="00ED460E" w:rsidP="00243889">
      <w:r w:rsidRPr="002B7200">
        <w:t xml:space="preserve">Demnach beläuft sich die jährlich wiederkehrende Betriebsgebühr für das Beispielgrundstück </w:t>
      </w:r>
      <w:r w:rsidRPr="002B7200">
        <w:br/>
        <w:t>auf</w:t>
      </w:r>
      <w:r>
        <w:t xml:space="preserve"> Fr.</w:t>
      </w:r>
      <w:r w:rsidRPr="002B7200">
        <w:t xml:space="preserve"> </w:t>
      </w:r>
      <w:r>
        <w:t>642.–</w:t>
      </w:r>
      <w:r w:rsidRPr="002B7200">
        <w:t xml:space="preserve"> (exkl. </w:t>
      </w:r>
      <w:r>
        <w:t>MWST</w:t>
      </w:r>
      <w:r w:rsidRPr="002B7200">
        <w:t>).</w:t>
      </w:r>
      <w:bookmarkEnd w:id="4"/>
    </w:p>
    <w:sectPr w:rsidR="00ED460E" w:rsidRPr="002A1457" w:rsidSect="0029076A">
      <w:headerReference w:type="default" r:id="rId8"/>
      <w:headerReference w:type="first" r:id="rId9"/>
      <w:footerReference w:type="first" r:id="rId10"/>
      <w:type w:val="continuous"/>
      <w:pgSz w:w="11906" w:h="16838" w:code="9"/>
      <w:pgMar w:top="1701" w:right="907" w:bottom="851"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A70" w:rsidRDefault="00055A70">
      <w:pPr>
        <w:spacing w:line="240" w:lineRule="auto"/>
      </w:pPr>
      <w:r>
        <w:separator/>
      </w:r>
    </w:p>
    <w:p w:rsidR="00055A70" w:rsidRDefault="00055A70"/>
  </w:endnote>
  <w:endnote w:type="continuationSeparator" w:id="0">
    <w:p w:rsidR="00055A70" w:rsidRDefault="00055A70">
      <w:pPr>
        <w:spacing w:line="240" w:lineRule="auto"/>
      </w:pPr>
      <w:r>
        <w:continuationSeparator/>
      </w:r>
    </w:p>
    <w:p w:rsidR="00055A70" w:rsidRDefault="00055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055A70" w:rsidRPr="00E11784">
      <w:tc>
        <w:tcPr>
          <w:tcW w:w="5727" w:type="dxa"/>
          <w:vAlign w:val="bottom"/>
        </w:tcPr>
        <w:p w:rsidR="00055A70" w:rsidRDefault="00055A70" w:rsidP="00ED460E">
          <w:pPr>
            <w:pStyle w:val="Dateiname"/>
            <w:ind w:left="-11340"/>
          </w:pPr>
        </w:p>
      </w:tc>
      <w:tc>
        <w:tcPr>
          <w:tcW w:w="3289" w:type="dxa"/>
          <w:vAlign w:val="bottom"/>
        </w:tcPr>
        <w:p w:rsidR="00055A70" w:rsidRPr="00ED460E" w:rsidRDefault="00055A70" w:rsidP="00ED460E">
          <w:pPr>
            <w:pStyle w:val="Kopfzeile"/>
          </w:pPr>
        </w:p>
      </w:tc>
    </w:tr>
  </w:tbl>
  <w:p w:rsidR="00055A70" w:rsidRPr="00ED460E" w:rsidRDefault="00055A70" w:rsidP="00ED460E">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A70" w:rsidRDefault="00055A70">
      <w:pPr>
        <w:spacing w:line="240" w:lineRule="auto"/>
      </w:pPr>
      <w:r>
        <w:separator/>
      </w:r>
    </w:p>
    <w:p w:rsidR="00055A70" w:rsidRDefault="00055A70"/>
  </w:footnote>
  <w:footnote w:type="continuationSeparator" w:id="0">
    <w:p w:rsidR="00055A70" w:rsidRDefault="00055A70">
      <w:pPr>
        <w:spacing w:line="240" w:lineRule="auto"/>
      </w:pPr>
      <w:r>
        <w:continuationSeparator/>
      </w:r>
    </w:p>
    <w:p w:rsidR="00055A70" w:rsidRDefault="00055A70"/>
  </w:footnote>
  <w:footnote w:id="1">
    <w:p w:rsidR="00055A70" w:rsidRDefault="00055A70" w:rsidP="00ED460E">
      <w:pPr>
        <w:pStyle w:val="Funotentext"/>
      </w:pPr>
      <w:r>
        <w:rPr>
          <w:rStyle w:val="Funotenzeichen"/>
        </w:rPr>
        <w:footnoteRef/>
      </w:r>
      <w:r>
        <w:t xml:space="preserve"> Formeln für 20 und mehr geschossige:</w:t>
      </w:r>
    </w:p>
    <w:p w:rsidR="00055A70" w:rsidRDefault="00055A70" w:rsidP="00ED460E">
      <w:pPr>
        <w:pStyle w:val="Funotentext"/>
      </w:pPr>
    </w:p>
    <w:p w:rsidR="00055A70" w:rsidRDefault="00055A70" w:rsidP="00ED460E">
      <w:pPr>
        <w:pStyle w:val="Funotentext"/>
        <w:ind w:left="284" w:hanging="284"/>
      </w:pPr>
      <w:r>
        <w:t xml:space="preserve">a. </w:t>
      </w:r>
      <w:r>
        <w:tab/>
        <w:t xml:space="preserve">Anzahl Wohnungen im Durchschnitt von MWmin bis MWmax: </w:t>
      </w:r>
    </w:p>
    <w:p w:rsidR="00055A70" w:rsidRDefault="00055A70" w:rsidP="00ED460E">
      <w:pPr>
        <w:pStyle w:val="Funotentext"/>
        <w:ind w:left="284" w:hanging="284"/>
      </w:pPr>
      <w:r>
        <w:tab/>
        <w:t xml:space="preserve">MWmin = Geschosszahl x 6;    MWmax = MWmin + (6 x (1+0.1 x (Geschosszahl – 20))) </w:t>
      </w:r>
    </w:p>
    <w:p w:rsidR="00055A70" w:rsidRDefault="00055A70" w:rsidP="00ED460E">
      <w:pPr>
        <w:pStyle w:val="Funotentext"/>
        <w:ind w:left="284" w:hanging="284"/>
      </w:pPr>
      <w:r>
        <w:t xml:space="preserve">b. </w:t>
      </w:r>
      <w:r>
        <w:tab/>
        <w:t>Wohnungszahl für Grenzwert Abzug – 2 TZ:</w:t>
      </w:r>
    </w:p>
    <w:p w:rsidR="00055A70" w:rsidRDefault="00055A70" w:rsidP="00ED460E">
      <w:pPr>
        <w:pStyle w:val="Funotentext"/>
        <w:ind w:left="284" w:hanging="284"/>
      </w:pPr>
      <w:r>
        <w:tab/>
        <w:t xml:space="preserve">Grenzwert-2TZ =  MWmin – 1 – 2 x (MWmax – MWmin) – 1 </w:t>
      </w:r>
    </w:p>
    <w:p w:rsidR="00055A70" w:rsidRDefault="00055A70" w:rsidP="00ED460E">
      <w:pPr>
        <w:pStyle w:val="Funotentext"/>
        <w:ind w:left="284" w:hanging="284"/>
      </w:pPr>
      <w:r>
        <w:t>c.</w:t>
      </w:r>
      <w:r>
        <w:tab/>
        <w:t>Wohnungszahl für unterer Grenzwert Abzug -1 TZ:</w:t>
      </w:r>
    </w:p>
    <w:p w:rsidR="00055A70" w:rsidRDefault="00055A70" w:rsidP="00ED460E">
      <w:pPr>
        <w:pStyle w:val="Funotentext"/>
        <w:ind w:left="284" w:hanging="284"/>
      </w:pPr>
      <w:r>
        <w:tab/>
        <w:t>unterer Grenzwert-1 TZ = MWmin – 1 – 2 x (MWmax – MWmin)</w:t>
      </w:r>
    </w:p>
    <w:p w:rsidR="00055A70" w:rsidRDefault="00055A70" w:rsidP="00ED460E">
      <w:pPr>
        <w:pStyle w:val="Funotentext"/>
        <w:ind w:left="284" w:hanging="284"/>
      </w:pPr>
      <w:r>
        <w:t xml:space="preserve">d. </w:t>
      </w:r>
      <w:r>
        <w:tab/>
        <w:t>Wohnungszahl für oberen Grenzwert Abzug -1 TZ:</w:t>
      </w:r>
    </w:p>
    <w:p w:rsidR="00055A70" w:rsidRDefault="00055A70" w:rsidP="00ED460E">
      <w:pPr>
        <w:pStyle w:val="Funotentext"/>
        <w:ind w:left="284" w:hanging="284"/>
      </w:pPr>
      <w:r>
        <w:tab/>
        <w:t xml:space="preserve">oberer Grenzwert-1 TZ = MWmin – 1 </w:t>
      </w:r>
    </w:p>
    <w:p w:rsidR="00055A70" w:rsidRDefault="00055A70" w:rsidP="00ED460E">
      <w:pPr>
        <w:pStyle w:val="Funotentext"/>
        <w:ind w:left="284" w:hanging="284"/>
      </w:pPr>
      <w:r>
        <w:t xml:space="preserve">e. </w:t>
      </w:r>
      <w:r>
        <w:tab/>
        <w:t>Wohnungszahl für unteren Grenzwert Zuschlag +1 TZ:</w:t>
      </w:r>
    </w:p>
    <w:p w:rsidR="00055A70" w:rsidRDefault="00055A70" w:rsidP="00ED460E">
      <w:pPr>
        <w:pStyle w:val="Funotentext"/>
        <w:ind w:left="284" w:hanging="284"/>
      </w:pPr>
      <w:r>
        <w:tab/>
        <w:t xml:space="preserve">unterer Grenzwert+1 TZ = MWmax + 1 </w:t>
      </w:r>
    </w:p>
    <w:p w:rsidR="00055A70" w:rsidRDefault="00055A70" w:rsidP="00ED460E">
      <w:pPr>
        <w:pStyle w:val="Funotentext"/>
        <w:ind w:left="284" w:hanging="284"/>
      </w:pPr>
      <w:r>
        <w:t xml:space="preserve">f. </w:t>
      </w:r>
      <w:r>
        <w:tab/>
        <w:t>Wohnungszahl für oberen Grenzwert Zuschlag + 1 TZ:</w:t>
      </w:r>
    </w:p>
    <w:p w:rsidR="00055A70" w:rsidRDefault="00055A70" w:rsidP="00ED460E">
      <w:pPr>
        <w:pStyle w:val="Funotentext"/>
        <w:ind w:left="284" w:hanging="284"/>
      </w:pPr>
      <w:r>
        <w:tab/>
        <w:t>oberer Grenzwert+1 TZ = MWmax + 1 + (MWmax – MWmin)</w:t>
      </w:r>
    </w:p>
    <w:p w:rsidR="00055A70" w:rsidRDefault="00055A70" w:rsidP="00ED460E">
      <w:pPr>
        <w:pStyle w:val="Funotentext"/>
        <w:ind w:left="284" w:hanging="284"/>
      </w:pPr>
      <w:r>
        <w:t xml:space="preserve">g. </w:t>
      </w:r>
      <w:r>
        <w:tab/>
        <w:t>Wohnungszahl für Grenzwert Zuschlag + 2 TZ:</w:t>
      </w:r>
    </w:p>
    <w:p w:rsidR="00055A70" w:rsidRPr="00973BF7" w:rsidRDefault="00055A70" w:rsidP="00ED460E">
      <w:pPr>
        <w:pStyle w:val="Funotentext"/>
        <w:ind w:left="284" w:hanging="284"/>
        <w:rPr>
          <w:lang w:val="de-CH"/>
        </w:rPr>
      </w:pPr>
      <w:r>
        <w:tab/>
        <w:t>Grenzwert+ 2 TZ = MWmax + 1 +(MWmax – MWmin)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055A70" w:rsidTr="00ED460E">
      <w:trPr>
        <w:trHeight w:hRule="exact" w:val="996"/>
      </w:trPr>
      <w:tc>
        <w:tcPr>
          <w:tcW w:w="9072" w:type="dxa"/>
          <w:vAlign w:val="bottom"/>
        </w:tcPr>
        <w:p w:rsidR="00055A70" w:rsidRDefault="00055A70" w:rsidP="00ED460E">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1</w:t>
          </w:r>
          <w:r>
            <w:fldChar w:fldCharType="end"/>
          </w:r>
        </w:p>
      </w:tc>
    </w:tr>
  </w:tbl>
  <w:p w:rsidR="00055A70" w:rsidRDefault="00055A70">
    <w:pPr>
      <w:pStyle w:val="Kopfzeile"/>
    </w:pPr>
  </w:p>
  <w:p w:rsidR="00055A70" w:rsidRDefault="00055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055A70" w:rsidRPr="00E11784">
      <w:tc>
        <w:tcPr>
          <w:tcW w:w="5727" w:type="dxa"/>
        </w:tcPr>
        <w:p w:rsidR="00055A70" w:rsidRPr="00FE7CFB" w:rsidRDefault="00055A70">
          <w:pPr>
            <w:pStyle w:val="Kopfzeile"/>
            <w:rPr>
              <w:sz w:val="32"/>
              <w:szCs w:val="32"/>
            </w:rPr>
          </w:pPr>
          <w:r w:rsidRPr="00772B42">
            <w:rPr>
              <w:sz w:val="32"/>
              <w:szCs w:val="32"/>
              <w:highlight w:val="lightGray"/>
            </w:rPr>
            <w:t>Gemeindewappen</w:t>
          </w:r>
        </w:p>
      </w:tc>
      <w:bookmarkStart w:id="71" w:name="BkmAmt"/>
      <w:tc>
        <w:tcPr>
          <w:tcW w:w="3289" w:type="dxa"/>
        </w:tcPr>
        <w:p w:rsidR="00055A70" w:rsidRPr="00165C13" w:rsidRDefault="00055A70" w:rsidP="00ED460E">
          <w:pPr>
            <w:pStyle w:val="Kopfzeile"/>
            <w:ind w:left="-11339"/>
            <w:rPr>
              <w:lang w:val="en-US"/>
            </w:rPr>
          </w:pPr>
          <w:r w:rsidRPr="00DC410B">
            <w:fldChar w:fldCharType="begin"/>
          </w:r>
          <w:r w:rsidRPr="00165C13">
            <w:rPr>
              <w:lang w:val="en-US"/>
            </w:rPr>
            <w:instrText xml:space="preserve"> DOCPROPERTY "Amt_Description" </w:instrText>
          </w:r>
          <w:r w:rsidRPr="00DC410B">
            <w:fldChar w:fldCharType="separate"/>
          </w:r>
          <w:r w:rsidR="00817244">
            <w:rPr>
              <w:lang w:val="en-US"/>
            </w:rPr>
            <w:t>Baudirektion_2</w:t>
          </w:r>
          <w:r w:rsidRPr="00DC410B">
            <w:fldChar w:fldCharType="end"/>
          </w:r>
        </w:p>
        <w:bookmarkEnd w:id="71"/>
        <w:p w:rsidR="00055A70" w:rsidRPr="00165C13" w:rsidRDefault="00055A70">
          <w:pPr>
            <w:pStyle w:val="Kopfzeile"/>
            <w:rPr>
              <w:lang w:val="en-US"/>
            </w:rPr>
          </w:pPr>
        </w:p>
        <w:bookmarkStart w:id="72" w:name="BkmDienststelle"/>
        <w:p w:rsidR="00055A70" w:rsidRPr="00165C13" w:rsidRDefault="00055A70" w:rsidP="00ED460E">
          <w:pPr>
            <w:pStyle w:val="Kopfzeile"/>
            <w:ind w:left="-11339"/>
            <w:rPr>
              <w:lang w:val="en-US"/>
            </w:rPr>
          </w:pPr>
          <w:r>
            <w:fldChar w:fldCharType="begin"/>
          </w:r>
          <w:r w:rsidRPr="00165C13">
            <w:rPr>
              <w:lang w:val="en-US"/>
            </w:rPr>
            <w:instrText xml:space="preserve"> DOCPROPERTY "Abteilung_Description" </w:instrText>
          </w:r>
          <w:r>
            <w:fldChar w:fldCharType="separate"/>
          </w:r>
          <w:r w:rsidR="00817244">
            <w:rPr>
              <w:lang w:val="en-US"/>
            </w:rPr>
            <w:t>Baudirektion_3</w:t>
          </w:r>
          <w:r>
            <w:fldChar w:fldCharType="end"/>
          </w:r>
          <w:bookmarkEnd w:id="72"/>
        </w:p>
      </w:tc>
    </w:tr>
  </w:tbl>
  <w:p w:rsidR="00055A70" w:rsidRDefault="00055A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1695768A"/>
    <w:multiLevelType w:val="hybridMultilevel"/>
    <w:tmpl w:val="BA001B18"/>
    <w:lvl w:ilvl="0" w:tplc="12129E94">
      <w:start w:val="1"/>
      <w:numFmt w:val="lowerLetter"/>
      <w:lvlText w:val="%1)"/>
      <w:lvlJc w:val="left"/>
      <w:pPr>
        <w:tabs>
          <w:tab w:val="num" w:pos="928"/>
        </w:tabs>
        <w:ind w:left="928" w:hanging="360"/>
      </w:pPr>
      <w:rPr>
        <w:rFonts w:hint="default"/>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5" w15:restartNumberingAfterBreak="0">
    <w:nsid w:val="1D9104B1"/>
    <w:multiLevelType w:val="hybridMultilevel"/>
    <w:tmpl w:val="3DA678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370C83"/>
    <w:multiLevelType w:val="multilevel"/>
    <w:tmpl w:val="979E2EBE"/>
    <w:lvl w:ilvl="0">
      <w:start w:val="1"/>
      <w:numFmt w:val="decimal"/>
      <w:lvlText w:val="%1."/>
      <w:lvlJc w:val="left"/>
      <w:pPr>
        <w:tabs>
          <w:tab w:val="num" w:pos="1134"/>
        </w:tabs>
        <w:ind w:left="1134" w:hanging="1134"/>
      </w:pPr>
      <w:rPr>
        <w:rFonts w:ascii="Arial" w:hAnsi="Arial" w:hint="default"/>
        <w:b/>
        <w:i w:val="0"/>
        <w:sz w:val="20"/>
        <w:szCs w:val="20"/>
      </w:rPr>
    </w:lvl>
    <w:lvl w:ilvl="1">
      <w:start w:val="1"/>
      <w:numFmt w:val="decimal"/>
      <w:lvlText w:val="%1.%2."/>
      <w:lvlJc w:val="left"/>
      <w:pPr>
        <w:tabs>
          <w:tab w:val="num" w:pos="1134"/>
        </w:tabs>
        <w:ind w:left="1134" w:hanging="1134"/>
      </w:pPr>
      <w:rPr>
        <w:rFonts w:ascii="Arial" w:hAnsi="Arial" w:hint="default"/>
        <w:sz w:val="20"/>
        <w:szCs w:val="20"/>
      </w:rPr>
    </w:lvl>
    <w:lvl w:ilvl="2">
      <w:start w:val="1"/>
      <w:numFmt w:val="decimal"/>
      <w:lvlText w:val="%1.%2.%3."/>
      <w:lvlJc w:val="left"/>
      <w:pPr>
        <w:tabs>
          <w:tab w:val="num" w:pos="1134"/>
        </w:tabs>
        <w:ind w:left="1134" w:hanging="1134"/>
      </w:pPr>
      <w:rPr>
        <w:rFonts w:ascii="Arial" w:hAnsi="Arial" w:hint="default"/>
        <w:sz w:val="20"/>
        <w:szCs w:val="2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7442EB1"/>
    <w:multiLevelType w:val="hybridMultilevel"/>
    <w:tmpl w:val="DF2C30D6"/>
    <w:lvl w:ilvl="0" w:tplc="12129E94">
      <w:start w:val="1"/>
      <w:numFmt w:val="lowerLetter"/>
      <w:lvlText w:val="%1)"/>
      <w:lvlJc w:val="left"/>
      <w:pPr>
        <w:ind w:left="720" w:hanging="360"/>
      </w:pPr>
      <w:rPr>
        <w:rFonts w:hint="default"/>
      </w:rPr>
    </w:lvl>
    <w:lvl w:ilvl="1" w:tplc="12129E94">
      <w:start w:val="1"/>
      <w:numFmt w:val="lowerLetter"/>
      <w:lvlText w:val="%2)"/>
      <w:lvlJc w:val="left"/>
      <w:pPr>
        <w:ind w:left="518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62F6806"/>
    <w:multiLevelType w:val="hybridMultilevel"/>
    <w:tmpl w:val="DB60B00C"/>
    <w:lvl w:ilvl="0" w:tplc="12129E9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num w:numId="1">
    <w:abstractNumId w:val="9"/>
  </w:num>
  <w:num w:numId="2">
    <w:abstractNumId w:val="3"/>
  </w:num>
  <w:num w:numId="3">
    <w:abstractNumId w:val="0"/>
  </w:num>
  <w:num w:numId="4">
    <w:abstractNumId w:val="2"/>
  </w:num>
  <w:num w:numId="5">
    <w:abstractNumId w:val="1"/>
  </w:num>
  <w:num w:numId="6">
    <w:abstractNumId w:val="8"/>
  </w:num>
  <w:num w:numId="7">
    <w:abstractNumId w:val="6"/>
  </w:num>
  <w:num w:numId="8">
    <w:abstractNumId w:val="4"/>
  </w:num>
  <w:num w:numId="9">
    <w:abstractNumId w:val="7"/>
  </w:num>
  <w:num w:numId="10">
    <w:abstractNumId w:val="5"/>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771A31"/>
    <w:rsid w:val="00055A70"/>
    <w:rsid w:val="00150949"/>
    <w:rsid w:val="001E6576"/>
    <w:rsid w:val="00243889"/>
    <w:rsid w:val="0029076A"/>
    <w:rsid w:val="003B2CEA"/>
    <w:rsid w:val="003D2954"/>
    <w:rsid w:val="00534CC1"/>
    <w:rsid w:val="0076585B"/>
    <w:rsid w:val="00771A31"/>
    <w:rsid w:val="00772B42"/>
    <w:rsid w:val="007E45D2"/>
    <w:rsid w:val="00817244"/>
    <w:rsid w:val="009862DE"/>
    <w:rsid w:val="009D7211"/>
    <w:rsid w:val="00A52C3C"/>
    <w:rsid w:val="00B304E9"/>
    <w:rsid w:val="00CF07A2"/>
    <w:rsid w:val="00D65F57"/>
    <w:rsid w:val="00DD4B89"/>
    <w:rsid w:val="00E11784"/>
    <w:rsid w:val="00E27A70"/>
    <w:rsid w:val="00E57B8E"/>
    <w:rsid w:val="00ED460E"/>
    <w:rsid w:val="00EF5B85"/>
    <w:rsid w:val="00FE7C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4E5724"/>
  <w15:docId w15:val="{1E6021B8-95F9-43AE-8EEA-9AC2EDF2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link w:val="berschrift1Zchn"/>
    <w:rsid w:val="00066DA7"/>
    <w:pPr>
      <w:keepNext/>
      <w:numPr>
        <w:numId w:val="6"/>
      </w:numPr>
      <w:outlineLvl w:val="0"/>
    </w:pPr>
    <w:rPr>
      <w:rFonts w:cs="Arial"/>
      <w:b/>
      <w:bCs/>
    </w:rPr>
  </w:style>
  <w:style w:type="paragraph" w:styleId="berschrift2">
    <w:name w:val="heading 2"/>
    <w:basedOn w:val="berschrift1"/>
    <w:next w:val="Textkrper"/>
    <w:qFormat/>
    <w:rsid w:val="00E27A70"/>
    <w:pPr>
      <w:numPr>
        <w:numId w:val="0"/>
      </w:numPr>
      <w:ind w:left="851" w:hanging="851"/>
      <w:outlineLvl w:val="1"/>
    </w:pPr>
    <w:rPr>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paragraph" w:styleId="berschrift6">
    <w:name w:val="heading 6"/>
    <w:basedOn w:val="Standard"/>
    <w:next w:val="Standardeinzug"/>
    <w:link w:val="berschrift6Zchn"/>
    <w:qFormat/>
    <w:rsid w:val="00ED460E"/>
    <w:pPr>
      <w:spacing w:line="240" w:lineRule="auto"/>
      <w:ind w:left="708"/>
      <w:outlineLvl w:val="5"/>
    </w:pPr>
    <w:rPr>
      <w:spacing w:val="0"/>
      <w:u w:val="single"/>
      <w:lang w:val="de-DE" w:eastAsia="de-DE"/>
    </w:rPr>
  </w:style>
  <w:style w:type="paragraph" w:styleId="berschrift7">
    <w:name w:val="heading 7"/>
    <w:basedOn w:val="Standard"/>
    <w:next w:val="Standardeinzug"/>
    <w:link w:val="berschrift7Zchn"/>
    <w:qFormat/>
    <w:rsid w:val="00ED460E"/>
    <w:pPr>
      <w:spacing w:line="240" w:lineRule="auto"/>
      <w:ind w:left="708"/>
      <w:outlineLvl w:val="6"/>
    </w:pPr>
    <w:rPr>
      <w:i/>
      <w:spacing w:val="0"/>
      <w:lang w:val="de-DE" w:eastAsia="de-DE"/>
    </w:rPr>
  </w:style>
  <w:style w:type="paragraph" w:styleId="berschrift8">
    <w:name w:val="heading 8"/>
    <w:basedOn w:val="Standard"/>
    <w:next w:val="Standardeinzug"/>
    <w:link w:val="berschrift8Zchn"/>
    <w:qFormat/>
    <w:rsid w:val="00ED460E"/>
    <w:pPr>
      <w:spacing w:line="240" w:lineRule="auto"/>
      <w:ind w:left="708"/>
      <w:outlineLvl w:val="7"/>
    </w:pPr>
    <w:rPr>
      <w:i/>
      <w:spacing w:val="0"/>
      <w:lang w:val="de-DE" w:eastAsia="de-DE"/>
    </w:rPr>
  </w:style>
  <w:style w:type="paragraph" w:styleId="berschrift9">
    <w:name w:val="heading 9"/>
    <w:basedOn w:val="Standard"/>
    <w:next w:val="Standardeinzug"/>
    <w:link w:val="berschrift9Zchn"/>
    <w:qFormat/>
    <w:rsid w:val="00ED460E"/>
    <w:pPr>
      <w:spacing w:line="240" w:lineRule="auto"/>
      <w:ind w:left="708"/>
      <w:outlineLvl w:val="8"/>
    </w:pPr>
    <w:rPr>
      <w:i/>
      <w:spacing w:val="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link w:val="BetreffZchn"/>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link w:val="KopfzeileZchn"/>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E11784"/>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uiPriority w:val="39"/>
    <w:rsid w:val="00F86CE4"/>
    <w:pPr>
      <w:spacing w:line="280" w:lineRule="atLeast"/>
    </w:pPr>
    <w:tblPr>
      <w:tblCellMar>
        <w:left w:w="0" w:type="dxa"/>
        <w:right w:w="0" w:type="dxa"/>
      </w:tblCellMar>
    </w:tblPr>
  </w:style>
  <w:style w:type="paragraph" w:styleId="Verzeichnis1">
    <w:name w:val="toc 1"/>
    <w:basedOn w:val="Standard"/>
    <w:next w:val="Standard"/>
    <w:autoRedefine/>
    <w:uiPriority w:val="39"/>
    <w:rsid w:val="00EF5B85"/>
    <w:pPr>
      <w:tabs>
        <w:tab w:val="right" w:pos="9356"/>
      </w:tabs>
      <w:ind w:left="1134" w:hanging="1134"/>
    </w:pPr>
    <w:rPr>
      <w:noProof/>
    </w:rPr>
  </w:style>
  <w:style w:type="paragraph" w:styleId="Verzeichnis2">
    <w:name w:val="toc 2"/>
    <w:basedOn w:val="Standard"/>
    <w:next w:val="Standard"/>
    <w:autoRedefine/>
    <w:uiPriority w:val="39"/>
    <w:rsid w:val="00817244"/>
    <w:pPr>
      <w:tabs>
        <w:tab w:val="left" w:pos="1134"/>
        <w:tab w:val="right" w:pos="9356"/>
      </w:tabs>
      <w:ind w:left="1134" w:hanging="1134"/>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Verantwortlicher">
    <w:name w:val="Verantwortlicher"/>
    <w:basedOn w:val="Standard"/>
    <w:next w:val="Standard"/>
    <w:rPr>
      <w:spacing w:val="4"/>
      <w:sz w:val="16"/>
      <w:szCs w:val="16"/>
    </w:rPr>
  </w:style>
  <w:style w:type="character" w:customStyle="1" w:styleId="BetreffZchn">
    <w:name w:val="Betreff Zchn"/>
    <w:basedOn w:val="Absatz-Standardschriftart"/>
    <w:link w:val="Betreff"/>
    <w:rPr>
      <w:rFonts w:ascii="Arial" w:hAnsi="Arial"/>
      <w:b/>
      <w:spacing w:val="6"/>
    </w:rPr>
  </w:style>
  <w:style w:type="character" w:customStyle="1" w:styleId="berschrift1Zchn">
    <w:name w:val="Überschrift 1 Zchn"/>
    <w:basedOn w:val="Absatz-Standardschriftart"/>
    <w:link w:val="berschrift1"/>
    <w:rPr>
      <w:rFonts w:ascii="Arial" w:hAnsi="Arial" w:cs="Arial"/>
      <w:b/>
      <w:bCs/>
      <w:spacing w:val="6"/>
    </w:rPr>
  </w:style>
  <w:style w:type="character" w:styleId="Hyperlink">
    <w:name w:val="Hyperlink"/>
    <w:basedOn w:val="Absatz-Standardschriftart"/>
    <w:uiPriority w:val="99"/>
    <w:unhideWhenUsed/>
    <w:rsid w:val="00ED460E"/>
    <w:rPr>
      <w:color w:val="0000FF" w:themeColor="hyperlink"/>
      <w:u w:val="single"/>
    </w:rPr>
  </w:style>
  <w:style w:type="character" w:customStyle="1" w:styleId="berschrift6Zchn">
    <w:name w:val="Überschrift 6 Zchn"/>
    <w:basedOn w:val="Absatz-Standardschriftart"/>
    <w:link w:val="berschrift6"/>
    <w:rsid w:val="00ED460E"/>
    <w:rPr>
      <w:rFonts w:ascii="Arial" w:hAnsi="Arial"/>
      <w:u w:val="single"/>
      <w:lang w:val="de-DE" w:eastAsia="de-DE"/>
    </w:rPr>
  </w:style>
  <w:style w:type="character" w:customStyle="1" w:styleId="berschrift7Zchn">
    <w:name w:val="Überschrift 7 Zchn"/>
    <w:basedOn w:val="Absatz-Standardschriftart"/>
    <w:link w:val="berschrift7"/>
    <w:rsid w:val="00ED460E"/>
    <w:rPr>
      <w:rFonts w:ascii="Arial" w:hAnsi="Arial"/>
      <w:i/>
      <w:lang w:val="de-DE" w:eastAsia="de-DE"/>
    </w:rPr>
  </w:style>
  <w:style w:type="character" w:customStyle="1" w:styleId="berschrift8Zchn">
    <w:name w:val="Überschrift 8 Zchn"/>
    <w:basedOn w:val="Absatz-Standardschriftart"/>
    <w:link w:val="berschrift8"/>
    <w:rsid w:val="00ED460E"/>
    <w:rPr>
      <w:rFonts w:ascii="Arial" w:hAnsi="Arial"/>
      <w:i/>
      <w:lang w:val="de-DE" w:eastAsia="de-DE"/>
    </w:rPr>
  </w:style>
  <w:style w:type="character" w:customStyle="1" w:styleId="berschrift9Zchn">
    <w:name w:val="Überschrift 9 Zchn"/>
    <w:basedOn w:val="Absatz-Standardschriftart"/>
    <w:link w:val="berschrift9"/>
    <w:rsid w:val="00ED460E"/>
    <w:rPr>
      <w:rFonts w:ascii="Arial" w:hAnsi="Arial"/>
      <w:i/>
      <w:lang w:val="de-DE" w:eastAsia="de-DE"/>
    </w:rPr>
  </w:style>
  <w:style w:type="paragraph" w:styleId="Standardeinzug">
    <w:name w:val="Normal Indent"/>
    <w:basedOn w:val="Standard"/>
    <w:semiHidden/>
    <w:rsid w:val="00ED460E"/>
    <w:pPr>
      <w:spacing w:line="240" w:lineRule="auto"/>
      <w:ind w:left="708"/>
    </w:pPr>
    <w:rPr>
      <w:spacing w:val="0"/>
      <w:lang w:val="de-DE" w:eastAsia="de-DE"/>
    </w:rPr>
  </w:style>
  <w:style w:type="character" w:styleId="Funotenzeichen">
    <w:name w:val="footnote reference"/>
    <w:basedOn w:val="Absatz-Standardschriftart"/>
    <w:semiHidden/>
    <w:rsid w:val="00ED460E"/>
    <w:rPr>
      <w:position w:val="6"/>
      <w:sz w:val="16"/>
    </w:rPr>
  </w:style>
  <w:style w:type="paragraph" w:styleId="Funotentext">
    <w:name w:val="footnote text"/>
    <w:basedOn w:val="Standard"/>
    <w:link w:val="FunotentextZchn"/>
    <w:semiHidden/>
    <w:rsid w:val="00ED460E"/>
    <w:pPr>
      <w:spacing w:line="240" w:lineRule="auto"/>
    </w:pPr>
    <w:rPr>
      <w:i/>
      <w:spacing w:val="0"/>
      <w:sz w:val="18"/>
      <w:lang w:val="de-DE" w:eastAsia="de-DE"/>
    </w:rPr>
  </w:style>
  <w:style w:type="character" w:customStyle="1" w:styleId="FunotentextZchn">
    <w:name w:val="Fußnotentext Zchn"/>
    <w:basedOn w:val="Absatz-Standardschriftart"/>
    <w:link w:val="Funotentext"/>
    <w:semiHidden/>
    <w:rsid w:val="00ED460E"/>
    <w:rPr>
      <w:rFonts w:ascii="Arial" w:hAnsi="Arial"/>
      <w:i/>
      <w:sz w:val="18"/>
      <w:lang w:val="de-DE" w:eastAsia="de-DE"/>
    </w:rPr>
  </w:style>
  <w:style w:type="paragraph" w:styleId="Textkrper-Zeileneinzug">
    <w:name w:val="Body Text Indent"/>
    <w:basedOn w:val="Standard"/>
    <w:link w:val="Textkrper-ZeileneinzugZchn"/>
    <w:semiHidden/>
    <w:rsid w:val="00ED460E"/>
    <w:pPr>
      <w:tabs>
        <w:tab w:val="left" w:pos="426"/>
        <w:tab w:val="left" w:pos="4536"/>
        <w:tab w:val="left" w:pos="6237"/>
      </w:tabs>
      <w:spacing w:line="240" w:lineRule="auto"/>
      <w:ind w:left="426" w:hanging="426"/>
    </w:pPr>
    <w:rPr>
      <w:spacing w:val="0"/>
      <w:lang w:val="de-DE" w:eastAsia="de-DE"/>
    </w:rPr>
  </w:style>
  <w:style w:type="character" w:customStyle="1" w:styleId="Textkrper-ZeileneinzugZchn">
    <w:name w:val="Textkörper-Zeileneinzug Zchn"/>
    <w:basedOn w:val="Absatz-Standardschriftart"/>
    <w:link w:val="Textkrper-Zeileneinzug"/>
    <w:semiHidden/>
    <w:rsid w:val="00ED460E"/>
    <w:rPr>
      <w:rFonts w:ascii="Arial" w:hAnsi="Arial"/>
      <w:lang w:val="de-DE" w:eastAsia="de-DE"/>
    </w:rPr>
  </w:style>
  <w:style w:type="paragraph" w:styleId="Textkrper2">
    <w:name w:val="Body Text 2"/>
    <w:basedOn w:val="Standard"/>
    <w:link w:val="Textkrper2Zchn"/>
    <w:semiHidden/>
    <w:rsid w:val="00ED460E"/>
    <w:pPr>
      <w:tabs>
        <w:tab w:val="left" w:pos="4536"/>
        <w:tab w:val="left" w:pos="6237"/>
      </w:tabs>
      <w:spacing w:line="240" w:lineRule="auto"/>
      <w:jc w:val="center"/>
    </w:pPr>
    <w:rPr>
      <w:spacing w:val="0"/>
      <w:lang w:val="de-DE" w:eastAsia="de-DE"/>
    </w:rPr>
  </w:style>
  <w:style w:type="character" w:customStyle="1" w:styleId="Textkrper2Zchn">
    <w:name w:val="Textkörper 2 Zchn"/>
    <w:basedOn w:val="Absatz-Standardschriftart"/>
    <w:link w:val="Textkrper2"/>
    <w:semiHidden/>
    <w:rsid w:val="00ED460E"/>
    <w:rPr>
      <w:rFonts w:ascii="Arial" w:hAnsi="Arial"/>
      <w:lang w:val="de-DE" w:eastAsia="de-DE"/>
    </w:rPr>
  </w:style>
  <w:style w:type="paragraph" w:styleId="Textkrper-Einzug2">
    <w:name w:val="Body Text Indent 2"/>
    <w:basedOn w:val="Standard"/>
    <w:link w:val="Textkrper-Einzug2Zchn"/>
    <w:semiHidden/>
    <w:rsid w:val="00ED460E"/>
    <w:pPr>
      <w:tabs>
        <w:tab w:val="left" w:pos="1134"/>
        <w:tab w:val="left" w:pos="4536"/>
        <w:tab w:val="left" w:pos="6237"/>
      </w:tabs>
      <w:spacing w:line="240" w:lineRule="auto"/>
      <w:ind w:left="1560"/>
    </w:pPr>
    <w:rPr>
      <w:spacing w:val="0"/>
      <w:lang w:eastAsia="de-DE"/>
    </w:rPr>
  </w:style>
  <w:style w:type="character" w:customStyle="1" w:styleId="Textkrper-Einzug2Zchn">
    <w:name w:val="Textkörper-Einzug 2 Zchn"/>
    <w:basedOn w:val="Absatz-Standardschriftart"/>
    <w:link w:val="Textkrper-Einzug2"/>
    <w:semiHidden/>
    <w:rsid w:val="00ED460E"/>
    <w:rPr>
      <w:rFonts w:ascii="Arial" w:hAnsi="Arial"/>
      <w:lang w:eastAsia="de-DE"/>
    </w:rPr>
  </w:style>
  <w:style w:type="paragraph" w:styleId="Textkrper-Einzug3">
    <w:name w:val="Body Text Indent 3"/>
    <w:basedOn w:val="Standard"/>
    <w:link w:val="Textkrper-Einzug3Zchn"/>
    <w:semiHidden/>
    <w:rsid w:val="00ED460E"/>
    <w:pPr>
      <w:tabs>
        <w:tab w:val="left" w:pos="1134"/>
        <w:tab w:val="left" w:pos="1560"/>
        <w:tab w:val="left" w:pos="4536"/>
        <w:tab w:val="left" w:pos="6237"/>
      </w:tabs>
      <w:spacing w:line="240" w:lineRule="auto"/>
      <w:ind w:left="1560" w:hanging="1560"/>
    </w:pPr>
    <w:rPr>
      <w:spacing w:val="0"/>
      <w:lang w:eastAsia="de-DE"/>
    </w:rPr>
  </w:style>
  <w:style w:type="character" w:customStyle="1" w:styleId="Textkrper-Einzug3Zchn">
    <w:name w:val="Textkörper-Einzug 3 Zchn"/>
    <w:basedOn w:val="Absatz-Standardschriftart"/>
    <w:link w:val="Textkrper-Einzug3"/>
    <w:semiHidden/>
    <w:rsid w:val="00ED460E"/>
    <w:rPr>
      <w:rFonts w:ascii="Arial" w:hAnsi="Arial"/>
      <w:lang w:eastAsia="de-DE"/>
    </w:rPr>
  </w:style>
  <w:style w:type="paragraph" w:styleId="Dokumentstruktur">
    <w:name w:val="Document Map"/>
    <w:basedOn w:val="Standard"/>
    <w:link w:val="DokumentstrukturZchn"/>
    <w:semiHidden/>
    <w:rsid w:val="00ED460E"/>
    <w:pPr>
      <w:shd w:val="clear" w:color="auto" w:fill="000080"/>
      <w:spacing w:line="240" w:lineRule="auto"/>
    </w:pPr>
    <w:rPr>
      <w:rFonts w:ascii="Tahoma" w:hAnsi="Tahoma" w:cs="Tahoma"/>
      <w:spacing w:val="0"/>
      <w:lang w:val="de-DE" w:eastAsia="de-DE"/>
    </w:rPr>
  </w:style>
  <w:style w:type="character" w:customStyle="1" w:styleId="DokumentstrukturZchn">
    <w:name w:val="Dokumentstruktur Zchn"/>
    <w:basedOn w:val="Absatz-Standardschriftart"/>
    <w:link w:val="Dokumentstruktur"/>
    <w:semiHidden/>
    <w:rsid w:val="00ED460E"/>
    <w:rPr>
      <w:rFonts w:ascii="Tahoma" w:hAnsi="Tahoma" w:cs="Tahoma"/>
      <w:shd w:val="clear" w:color="auto" w:fill="000080"/>
      <w:lang w:val="de-DE" w:eastAsia="de-DE"/>
    </w:rPr>
  </w:style>
  <w:style w:type="paragraph" w:styleId="Textkrper3">
    <w:name w:val="Body Text 3"/>
    <w:basedOn w:val="Standard"/>
    <w:link w:val="Textkrper3Zchn"/>
    <w:semiHidden/>
    <w:rsid w:val="00ED460E"/>
    <w:pPr>
      <w:tabs>
        <w:tab w:val="left" w:pos="4536"/>
        <w:tab w:val="left" w:pos="6237"/>
      </w:tabs>
      <w:spacing w:line="240" w:lineRule="auto"/>
      <w:jc w:val="both"/>
    </w:pPr>
    <w:rPr>
      <w:spacing w:val="0"/>
      <w:sz w:val="22"/>
      <w:lang w:eastAsia="de-DE"/>
    </w:rPr>
  </w:style>
  <w:style w:type="character" w:customStyle="1" w:styleId="Textkrper3Zchn">
    <w:name w:val="Textkörper 3 Zchn"/>
    <w:basedOn w:val="Absatz-Standardschriftart"/>
    <w:link w:val="Textkrper3"/>
    <w:semiHidden/>
    <w:rsid w:val="00ED460E"/>
    <w:rPr>
      <w:rFonts w:ascii="Arial" w:hAnsi="Arial"/>
      <w:sz w:val="22"/>
      <w:lang w:eastAsia="de-DE"/>
    </w:rPr>
  </w:style>
  <w:style w:type="character" w:styleId="Kommentarzeichen">
    <w:name w:val="annotation reference"/>
    <w:basedOn w:val="Absatz-Standardschriftart"/>
    <w:semiHidden/>
    <w:rsid w:val="00ED460E"/>
    <w:rPr>
      <w:sz w:val="16"/>
      <w:szCs w:val="16"/>
    </w:rPr>
  </w:style>
  <w:style w:type="paragraph" w:styleId="Kommentartext">
    <w:name w:val="annotation text"/>
    <w:basedOn w:val="Standard"/>
    <w:link w:val="KommentartextZchn"/>
    <w:semiHidden/>
    <w:rsid w:val="00ED460E"/>
    <w:pPr>
      <w:spacing w:line="240" w:lineRule="auto"/>
    </w:pPr>
    <w:rPr>
      <w:spacing w:val="0"/>
      <w:lang w:val="de-DE" w:eastAsia="de-DE"/>
    </w:rPr>
  </w:style>
  <w:style w:type="character" w:customStyle="1" w:styleId="KommentartextZchn">
    <w:name w:val="Kommentartext Zchn"/>
    <w:basedOn w:val="Absatz-Standardschriftart"/>
    <w:link w:val="Kommentartext"/>
    <w:semiHidden/>
    <w:rsid w:val="00ED460E"/>
    <w:rPr>
      <w:rFonts w:ascii="Arial" w:hAnsi="Arial"/>
      <w:lang w:val="de-DE" w:eastAsia="de-DE"/>
    </w:rPr>
  </w:style>
  <w:style w:type="paragraph" w:styleId="Sprechblasentext">
    <w:name w:val="Balloon Text"/>
    <w:basedOn w:val="Standard"/>
    <w:link w:val="SprechblasentextZchn"/>
    <w:uiPriority w:val="99"/>
    <w:semiHidden/>
    <w:unhideWhenUsed/>
    <w:rsid w:val="00ED460E"/>
    <w:pPr>
      <w:spacing w:line="240" w:lineRule="auto"/>
    </w:pPr>
    <w:rPr>
      <w:rFonts w:ascii="Tahoma" w:hAnsi="Tahoma" w:cs="Tahoma"/>
      <w:spacing w:val="0"/>
      <w:sz w:val="16"/>
      <w:szCs w:val="16"/>
      <w:lang w:val="de-DE" w:eastAsia="de-DE"/>
    </w:rPr>
  </w:style>
  <w:style w:type="character" w:customStyle="1" w:styleId="SprechblasentextZchn">
    <w:name w:val="Sprechblasentext Zchn"/>
    <w:basedOn w:val="Absatz-Standardschriftart"/>
    <w:link w:val="Sprechblasentext"/>
    <w:uiPriority w:val="99"/>
    <w:semiHidden/>
    <w:rsid w:val="00ED460E"/>
    <w:rPr>
      <w:rFonts w:ascii="Tahoma" w:hAnsi="Tahoma" w:cs="Tahoma"/>
      <w:sz w:val="16"/>
      <w:szCs w:val="16"/>
      <w:lang w:val="de-DE" w:eastAsia="de-DE"/>
    </w:rPr>
  </w:style>
  <w:style w:type="paragraph" w:styleId="berarbeitung">
    <w:name w:val="Revision"/>
    <w:hidden/>
    <w:uiPriority w:val="99"/>
    <w:semiHidden/>
    <w:rsid w:val="00ED460E"/>
    <w:rPr>
      <w:sz w:val="24"/>
      <w:lang w:val="de-DE" w:eastAsia="de-DE"/>
    </w:rPr>
  </w:style>
  <w:style w:type="character" w:styleId="Fett">
    <w:name w:val="Strong"/>
    <w:basedOn w:val="Absatz-Standardschriftart"/>
    <w:uiPriority w:val="22"/>
    <w:qFormat/>
    <w:rsid w:val="00ED460E"/>
    <w:rPr>
      <w:b/>
      <w:bCs/>
    </w:rPr>
  </w:style>
  <w:style w:type="paragraph" w:styleId="Kommentarthema">
    <w:name w:val="annotation subject"/>
    <w:basedOn w:val="Kommentartext"/>
    <w:next w:val="Kommentartext"/>
    <w:link w:val="KommentarthemaZchn"/>
    <w:uiPriority w:val="99"/>
    <w:semiHidden/>
    <w:unhideWhenUsed/>
    <w:rsid w:val="00ED460E"/>
    <w:rPr>
      <w:b/>
      <w:bCs/>
    </w:rPr>
  </w:style>
  <w:style w:type="character" w:customStyle="1" w:styleId="KommentarthemaZchn">
    <w:name w:val="Kommentarthema Zchn"/>
    <w:basedOn w:val="KommentartextZchn"/>
    <w:link w:val="Kommentarthema"/>
    <w:uiPriority w:val="99"/>
    <w:semiHidden/>
    <w:rsid w:val="00ED460E"/>
    <w:rPr>
      <w:rFonts w:ascii="Arial" w:hAnsi="Arial"/>
      <w:b/>
      <w:bCs/>
      <w:lang w:val="de-DE" w:eastAsia="de-DE"/>
    </w:rPr>
  </w:style>
  <w:style w:type="character" w:customStyle="1" w:styleId="KopfzeileZchn">
    <w:name w:val="Kopfzeile Zchn"/>
    <w:basedOn w:val="Absatz-Standardschriftart"/>
    <w:link w:val="Kopfzeile"/>
    <w:rsid w:val="00ED460E"/>
    <w:rPr>
      <w:rFonts w:ascii="Arial" w:hAnsi="Arial"/>
      <w:noProof/>
      <w:spacing w:val="6"/>
      <w:sz w:val="16"/>
    </w:rPr>
  </w:style>
  <w:style w:type="paragraph" w:styleId="Listenabsatz">
    <w:name w:val="List Paragraph"/>
    <w:basedOn w:val="Standard"/>
    <w:uiPriority w:val="34"/>
    <w:qFormat/>
    <w:rsid w:val="00ED460E"/>
    <w:pPr>
      <w:spacing w:line="240" w:lineRule="auto"/>
      <w:ind w:left="720"/>
      <w:contextualSpacing/>
    </w:pPr>
    <w:rPr>
      <w:spacing w:val="0"/>
      <w:lang w:val="de-DE" w:eastAsia="de-DE"/>
    </w:rPr>
  </w:style>
  <w:style w:type="table" w:customStyle="1" w:styleId="Tabellenraster1">
    <w:name w:val="Tabellenraster1"/>
    <w:basedOn w:val="NormaleTabelle"/>
    <w:next w:val="Tabellenraster"/>
    <w:uiPriority w:val="59"/>
    <w:rsid w:val="00ED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D460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57C8FFFC-80E2-44B8-ACED-E515C86A3AB8}">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4577</Words>
  <Characters>30051</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Mathis</dc:creator>
  <cp:lastModifiedBy>Bruno Mathis</cp:lastModifiedBy>
  <cp:revision>12</cp:revision>
  <dcterms:created xsi:type="dcterms:W3CDTF">2021-05-11T16:03:00Z</dcterms:created>
  <dcterms:modified xsi:type="dcterms:W3CDTF">2021-05-14T08:21:00Z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965c8491-24ef-44d7-bbf4-8ef459b8a2e7</vt:lpwstr>
  </property>
  <property fmtid="{D5CDD505-2E9C-101B-9397-08002B2CF9AE}" pid="72" name="direktion_kennung">
    <vt:lpwstr>BD</vt:lpwstr>
  </property>
  <property fmtid="{D5CDD505-2E9C-101B-9397-08002B2CF9AE}" pid="73" name="direktion_kurzzeichen">
    <vt:lpwstr>BD</vt:lpwstr>
  </property>
  <property fmtid="{D5CDD505-2E9C-101B-9397-08002B2CF9AE}" pid="74" name="direktion_direktion">
    <vt:lpwstr>Baudirektion</vt:lpwstr>
  </property>
  <property fmtid="{D5CDD505-2E9C-101B-9397-08002B2CF9AE}" pid="75" name="amt_sourceid">
    <vt:lpwstr>fd9c64a1-3045-4bbc-a693-1fd8b6d9e2d4</vt:lpwstr>
  </property>
  <property fmtid="{D5CDD505-2E9C-101B-9397-08002B2CF9AE}" pid="76" name="amt_direktionid">
    <vt:lpwstr>965c8491-24ef-44d7-bbf4-8ef459b8a2e7</vt:lpwstr>
  </property>
  <property fmtid="{D5CDD505-2E9C-101B-9397-08002B2CF9AE}" pid="77" name="amt_amt">
    <vt:lpwstr/>
  </property>
  <property fmtid="{D5CDD505-2E9C-101B-9397-08002B2CF9AE}" pid="78" name="amt_description">
    <vt:lpwstr>Baudirektion_2</vt:lpwstr>
  </property>
  <property fmtid="{D5CDD505-2E9C-101B-9397-08002B2CF9AE}" pid="79" name="abteilung_description">
    <vt:lpwstr>Baudirektion_3</vt:lpwstr>
  </property>
  <property fmtid="{D5CDD505-2E9C-101B-9397-08002B2CF9AE}" pid="80" name="abteilung_sourceid">
    <vt:lpwstr>aa753011-3edb-4bf8-943c-c5bbbae48e99</vt:lpwstr>
  </property>
  <property fmtid="{D5CDD505-2E9C-101B-9397-08002B2CF9AE}" pid="81" name="abteilung_amtid">
    <vt:lpwstr>fd9c64a1-3045-4bbc-a693-1fd8b6d9e2d4</vt:lpwstr>
  </property>
  <property fmtid="{D5CDD505-2E9C-101B-9397-08002B2CF9AE}" pid="82" name="abteilung_bezeichnungimgruss">
    <vt:lpwstr>Baudirektion</vt:lpwstr>
  </property>
  <property fmtid="{D5CDD505-2E9C-101B-9397-08002B2CF9AE}" pid="83" name="abteilung_adresszeile1">
    <vt:lpwstr>Aabachstrasse 5</vt:lpwstr>
  </property>
  <property fmtid="{D5CDD505-2E9C-101B-9397-08002B2CF9AE}" pid="84" name="abteilung_couvert">
    <vt:lpwstr>Baudirektion</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+41 41 728 53 00</vt:lpwstr>
  </property>
  <property fmtid="{D5CDD505-2E9C-101B-9397-08002B2CF9AE}" pid="95" name="abteilung_telefax">
    <vt:lpwstr/>
  </property>
  <property fmtid="{D5CDD505-2E9C-101B-9397-08002B2CF9AE}" pid="96" name="abteilung_email">
    <vt:lpwstr>info.bds@zg.ch</vt:lpwstr>
  </property>
  <property fmtid="{D5CDD505-2E9C-101B-9397-08002B2CF9AE}" pid="97" name="abteilung_internet">
    <vt:lpwstr>www.zg.ch/baudirektion</vt:lpwstr>
  </property>
  <property fmtid="{D5CDD505-2E9C-101B-9397-08002B2CF9AE}" pid="98" name="mitarbeiter_ersteller_sourceid">
    <vt:lpwstr>00834a29-fdd9-d511-96bd-0002a5cd0f85</vt:lpwstr>
  </property>
  <property fmtid="{D5CDD505-2E9C-101B-9397-08002B2CF9AE}" pid="99" name="mitarbeiter_ersteller_dienstgrad">
    <vt:lpwstr/>
  </property>
  <property fmtid="{D5CDD505-2E9C-101B-9397-08002B2CF9AE}" pid="100" name="mitarbeiter_ersteller_email">
    <vt:lpwstr>bruno.mathis@zg.ch</vt:lpwstr>
  </property>
  <property fmtid="{D5CDD505-2E9C-101B-9397-08002B2CF9AE}" pid="101" name="mitarbeiter_ersteller_funktion">
    <vt:lpwstr>Abteilungsleit./Stv.Amtsleiter</vt:lpwstr>
  </property>
  <property fmtid="{D5CDD505-2E9C-101B-9397-08002B2CF9AE}" pid="102" name="mitarbeiter_ersteller_funktion_user">
    <vt:lpwstr>Abteilungsleiter</vt:lpwstr>
  </property>
  <property fmtid="{D5CDD505-2E9C-101B-9397-08002B2CF9AE}" pid="103" name="mitarbeiter_ersteller_kurzzeichen">
    <vt:lpwstr>MABR</vt:lpwstr>
  </property>
  <property fmtid="{D5CDD505-2E9C-101B-9397-08002B2CF9AE}" pid="104" name="mitarbeiter_ersteller_kurzzeichen_user">
    <vt:lpwstr>mabr</vt:lpwstr>
  </property>
  <property fmtid="{D5CDD505-2E9C-101B-9397-08002B2CF9AE}" pid="105" name="mitarbeiter_ersteller_name">
    <vt:lpwstr>Mathis</vt:lpwstr>
  </property>
  <property fmtid="{D5CDD505-2E9C-101B-9397-08002B2CF9AE}" pid="106" name="mitarbeiter_ersteller_personalnummer">
    <vt:lpwstr>136893</vt:lpwstr>
  </property>
  <property fmtid="{D5CDD505-2E9C-101B-9397-08002B2CF9AE}" pid="107" name="mitarbeiter_ersteller_telefax">
    <vt:lpwstr/>
  </property>
  <property fmtid="{D5CDD505-2E9C-101B-9397-08002B2CF9AE}" pid="108" name="mitarbeiter_ersteller_telefon">
    <vt:lpwstr>+41 41 728 53 82</vt:lpwstr>
  </property>
  <property fmtid="{D5CDD505-2E9C-101B-9397-08002B2CF9AE}" pid="109" name="mitarbeiter_ersteller_titel">
    <vt:lpwstr/>
  </property>
  <property fmtid="{D5CDD505-2E9C-101B-9397-08002B2CF9AE}" pid="110" name="mitarbeiter_ersteller_vorname">
    <vt:lpwstr>Bruno</vt:lpwstr>
  </property>
  <property fmtid="{D5CDD505-2E9C-101B-9397-08002B2CF9AE}" pid="111" name="mitarbeiter_unterschrift_links_sourceid">
    <vt:lpwstr/>
  </property>
  <property fmtid="{D5CDD505-2E9C-101B-9397-08002B2CF9AE}" pid="112" name="mitarbeiter_unterschrift_links_dienstgrad">
    <vt:lpwstr/>
  </property>
  <property fmtid="{D5CDD505-2E9C-101B-9397-08002B2CF9AE}" pid="113" name="mitarbeiter_unterschrift_links_email">
    <vt:lpwstr/>
  </property>
  <property fmtid="{D5CDD505-2E9C-101B-9397-08002B2CF9AE}" pid="114" name="mitarbeiter_unterschrift_links_funktion">
    <vt:lpwstr/>
  </property>
  <property fmtid="{D5CDD505-2E9C-101B-9397-08002B2CF9AE}" pid="115" name="mitarbeiter_unterschrift_links_funktion_user">
    <vt:lpwstr/>
  </property>
  <property fmtid="{D5CDD505-2E9C-101B-9397-08002B2CF9AE}" pid="116" name="mitarbeiter_unterschrift_links_kurzzeichen">
    <vt:lpwstr/>
  </property>
  <property fmtid="{D5CDD505-2E9C-101B-9397-08002B2CF9AE}" pid="117" name="mitarbeiter_unterschrift_links_kurzzeichen_user">
    <vt:lpwstr/>
  </property>
  <property fmtid="{D5CDD505-2E9C-101B-9397-08002B2CF9AE}" pid="118" name="mitarbeiter_unterschrift_links_name">
    <vt:lpwstr/>
  </property>
  <property fmtid="{D5CDD505-2E9C-101B-9397-08002B2CF9AE}" pid="119" name="mitarbeiter_unterschrift_links_personalnummer">
    <vt:lpwstr/>
  </property>
  <property fmtid="{D5CDD505-2E9C-101B-9397-08002B2CF9AE}" pid="120" name="mitarbeiter_unterschrift_links_telefax">
    <vt:lpwstr/>
  </property>
  <property fmtid="{D5CDD505-2E9C-101B-9397-08002B2CF9AE}" pid="121" name="mitarbeiter_unterschrift_links_telefon">
    <vt:lpwstr/>
  </property>
  <property fmtid="{D5CDD505-2E9C-101B-9397-08002B2CF9AE}" pid="122" name="mitarbeiter_unterschrift_links_titel">
    <vt:lpwstr/>
  </property>
  <property fmtid="{D5CDD505-2E9C-101B-9397-08002B2CF9AE}" pid="123" name="mitarbeiter_unterschrift_links_vorname">
    <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adresse_empfaenger_sourceid">
    <vt:lpwstr/>
  </property>
  <property fmtid="{D5CDD505-2E9C-101B-9397-08002B2CF9AE}" pid="138" name="adresse_empfaenger_firma">
    <vt:lpwstr>Buuregarte Boog AG</vt:lpwstr>
  </property>
  <property fmtid="{D5CDD505-2E9C-101B-9397-08002B2CF9AE}" pid="139" name="adresse_empfaenger_anrede">
    <vt:lpwstr>Herr</vt:lpwstr>
  </property>
  <property fmtid="{D5CDD505-2E9C-101B-9397-08002B2CF9AE}" pid="140" name="adresse_empfaenger_vorname">
    <vt:lpwstr>Jonas </vt:lpwstr>
  </property>
  <property fmtid="{D5CDD505-2E9C-101B-9397-08002B2CF9AE}" pid="141" name="adresse_empfaenger_name">
    <vt:lpwstr>Boog</vt:lpwstr>
  </property>
  <property fmtid="{D5CDD505-2E9C-101B-9397-08002B2CF9AE}" pid="142" name="adresse_empfaenger_strasse">
    <vt:lpwstr>Drälikon 14</vt:lpwstr>
  </property>
  <property fmtid="{D5CDD505-2E9C-101B-9397-08002B2CF9AE}" pid="143" name="adresse_empfaenger_postfach">
    <vt:lpwstr/>
  </property>
  <property fmtid="{D5CDD505-2E9C-101B-9397-08002B2CF9AE}" pid="144" name="adresse_empfaenger_plz">
    <vt:lpwstr>6331</vt:lpwstr>
  </property>
  <property fmtid="{D5CDD505-2E9C-101B-9397-08002B2CF9AE}" pid="145" name="adresse_empfaenger_ort">
    <vt:lpwstr>Hünenberg</vt:lpwstr>
  </property>
  <property fmtid="{D5CDD505-2E9C-101B-9397-08002B2CF9AE}" pid="146" name="adresse_empfaenger_telefon">
    <vt:lpwstr/>
  </property>
  <property fmtid="{D5CDD505-2E9C-101B-9397-08002B2CF9AE}" pid="147" name="adresse_empfaenger_telefax">
    <vt:lpwstr/>
  </property>
  <property fmtid="{D5CDD505-2E9C-101B-9397-08002B2CF9AE}" pid="148" name="adresse_empfaenger_land">
    <vt:lpwstr/>
  </property>
  <property fmtid="{D5CDD505-2E9C-101B-9397-08002B2CF9AE}" pid="149" name="adresse_empfaenger_description">
    <vt:lpwstr/>
  </property>
  <property fmtid="{D5CDD505-2E9C-101B-9397-08002B2CF9AE}" pid="150" name="adresse_empfaenger_email">
    <vt:lpwstr/>
  </property>
  <property fmtid="{D5CDD505-2E9C-101B-9397-08002B2CF9AE}" pid="151" name="adresse_empfaenger_">
    <vt:lpwstr>Buuregarte Boog AG_x000d_
Herr_x000d_
Jonas Boog_x000d_
Drälikon 14 _x000d_
6331 Hünenberg</vt:lpwstr>
  </property>
  <property fmtid="{D5CDD505-2E9C-101B-9397-08002B2CF9AE}" pid="152" name="adresse_empfaenger_versandart">
    <vt:lpwstr>Per E-Mail</vt:lpwstr>
  </property>
  <property fmtid="{D5CDD505-2E9C-101B-9397-08002B2CF9AE}" pid="153" name="adresse_empfaenger_versandartunformatted">
    <vt:lpwstr>Per E-Mail</vt:lpwstr>
  </property>
  <property fmtid="{D5CDD505-2E9C-101B-9397-08002B2CF9AE}" pid="154" name="adresse_empfaenger_adresslayout">
    <vt:lpwstr>Schweiz</vt:lpwstr>
  </property>
  <property fmtid="{D5CDD505-2E9C-101B-9397-08002B2CF9AE}" pid="155" name="adresse_empfaenger_adresslayoutunformatted">
    <vt:lpwstr>Schweiz</vt:lpwstr>
  </property>
  <property fmtid="{D5CDD505-2E9C-101B-9397-08002B2CF9AE}" pid="156" name="9344e959-e442-4c91-96d5-070c83f0c2caapplyforalltemplateschecked">
    <vt:lpwstr>True</vt:lpwstr>
  </property>
  <property fmtid="{D5CDD505-2E9C-101B-9397-08002B2CF9AE}" pid="157" name="templateid">
    <vt:lpwstr>bb445bcf-29c8-4aea-92c5-1bc0e2df5ff1</vt:lpwstr>
  </property>
  <property fmtid="{D5CDD505-2E9C-101B-9397-08002B2CF9AE}" pid="158" name="templateexternalid">
    <vt:lpwstr>929b196d-9083-4df7-8548-b920e7b7f67c</vt:lpwstr>
  </property>
  <property fmtid="{D5CDD505-2E9C-101B-9397-08002B2CF9AE}" pid="159" name="languagekey">
    <vt:lpwstr>DE</vt:lpwstr>
  </property>
  <property fmtid="{D5CDD505-2E9C-101B-9397-08002B2CF9AE}" pid="160" name="taskpaneguid">
    <vt:lpwstr>3e81fb0d-dda2-4101-b67d-e797fb6241ce</vt:lpwstr>
  </property>
  <property fmtid="{D5CDD505-2E9C-101B-9397-08002B2CF9AE}" pid="161" name="taskpaneenablemanually">
    <vt:lpwstr>Manually</vt:lpwstr>
  </property>
  <property fmtid="{D5CDD505-2E9C-101B-9397-08002B2CF9AE}" pid="162" name="templatename">
    <vt:lpwstr>Bericht A4</vt:lpwstr>
  </property>
  <property fmtid="{D5CDD505-2E9C-101B-9397-08002B2CF9AE}" pid="163" name="docugatedocumenthasdatastore">
    <vt:lpwstr>True</vt:lpwstr>
  </property>
  <property fmtid="{D5CDD505-2E9C-101B-9397-08002B2CF9AE}" pid="164" name="templatedisplayname">
    <vt:lpwstr>Bericht A4</vt:lpwstr>
  </property>
  <property fmtid="{D5CDD505-2E9C-101B-9397-08002B2CF9AE}" pid="165" name="wplogofolgeseite">
    <vt:lpwstr>Logo</vt:lpwstr>
  </property>
  <property fmtid="{D5CDD505-2E9C-101B-9397-08002B2CF9AE}" pid="166" name="erste seite">
    <vt:lpwstr>Logo</vt:lpwstr>
  </property>
  <property fmtid="{D5CDD505-2E9C-101B-9397-08002B2CF9AE}" pid="167" name="dglogoein">
    <vt:lpwstr>True</vt:lpwstr>
  </property>
  <property fmtid="{D5CDD505-2E9C-101B-9397-08002B2CF9AE}" pid="168" name="metadata_formularnummer">
    <vt:lpwstr/>
  </property>
  <property fmtid="{D5CDD505-2E9C-101B-9397-08002B2CF9AE}" pid="169" name="bkmod_001">
    <vt:lpwstr>8b3b78f9-65b3-4f87-937e-a4b7393117ad</vt:lpwstr>
  </property>
  <property fmtid="{D5CDD505-2E9C-101B-9397-08002B2CF9AE}" pid="170" name="bkmod_002">
    <vt:lpwstr>51ab09f4-5997-4b44-b90b-6f31ef82085d</vt:lpwstr>
  </property>
  <property fmtid="{D5CDD505-2E9C-101B-9397-08002B2CF9AE}" pid="171" name="bkmod_003">
    <vt:lpwstr>2d183ebb-a017-4b41-a390-31e1fbc0457e</vt:lpwstr>
  </property>
  <property fmtid="{D5CDD505-2E9C-101B-9397-08002B2CF9AE}" pid="172" name="bkmod_004">
    <vt:lpwstr>51ab09f4-5997-4b44-b90b-6f31ef82085d</vt:lpwstr>
  </property>
  <property fmtid="{D5CDD505-2E9C-101B-9397-08002B2CF9AE}" pid="173" name="bkmod_005">
    <vt:lpwstr>818fab0d-9a1f-4af6-b477-45cf7bfab6b0</vt:lpwstr>
  </property>
  <property fmtid="{D5CDD505-2E9C-101B-9397-08002B2CF9AE}" pid="174" name="bkmod_006">
    <vt:lpwstr>51ab09f4-5997-4b44-b90b-6f31ef82085d</vt:lpwstr>
  </property>
  <property fmtid="{D5CDD505-2E9C-101B-9397-08002B2CF9AE}" pid="175" name="bkmod_007">
    <vt:lpwstr>76454a42-789f-47f4-9488-69fed6420d0e</vt:lpwstr>
  </property>
  <property fmtid="{D5CDD505-2E9C-101B-9397-08002B2CF9AE}" pid="176" name="tcg_mtc_001">
    <vt:lpwstr>8b3b78f9-65b3-4f87-937e-a4b7393117ad</vt:lpwstr>
  </property>
  <property fmtid="{D5CDD505-2E9C-101B-9397-08002B2CF9AE}" pid="177" name="tcg_mtc_002">
    <vt:lpwstr>51ab09f4-5997-4b44-b90b-6f31ef82085d</vt:lpwstr>
  </property>
  <property fmtid="{D5CDD505-2E9C-101B-9397-08002B2CF9AE}" pid="178" name="tcg_mtc_003">
    <vt:lpwstr>2d183ebb-a017-4b41-a390-31e1fbc0457e</vt:lpwstr>
  </property>
  <property fmtid="{D5CDD505-2E9C-101B-9397-08002B2CF9AE}" pid="179" name="tcg_mtc_004">
    <vt:lpwstr>51ab09f4-5997-4b44-b90b-6f31ef82085d</vt:lpwstr>
  </property>
  <property fmtid="{D5CDD505-2E9C-101B-9397-08002B2CF9AE}" pid="180" name="tcg_mtc_005">
    <vt:lpwstr>818fab0d-9a1f-4af6-b477-45cf7bfab6b0</vt:lpwstr>
  </property>
  <property fmtid="{D5CDD505-2E9C-101B-9397-08002B2CF9AE}" pid="181" name="tcg_mtc_006">
    <vt:lpwstr>51ab09f4-5997-4b44-b90b-6f31ef82085d</vt:lpwstr>
  </property>
  <property fmtid="{D5CDD505-2E9C-101B-9397-08002B2CF9AE}" pid="182" name="tcg_mtc_007">
    <vt:lpwstr>76454a42-789f-47f4-9488-69fed6420d0e</vt:lpwstr>
  </property>
  <property fmtid="{D5CDD505-2E9C-101B-9397-08002B2CF9AE}" pid="183" name="dgworkflowid">
    <vt:lpwstr>4e363553-7d6f-4123-926e-ee12ef1386b3</vt:lpwstr>
  </property>
  <property fmtid="{D5CDD505-2E9C-101B-9397-08002B2CF9AE}" pid="184" name="docugatedocumentversion">
    <vt:lpwstr>5.16.0.1</vt:lpwstr>
  </property>
  <property fmtid="{D5CDD505-2E9C-101B-9397-08002B2CF9AE}" pid="185" name="docugatedocumentcreationpath">
    <vt:lpwstr>C:\Users\mabr\AppData\Local\Temp\Docugate\Documents\okjlyhpi.docx</vt:lpwstr>
  </property>
  <property fmtid="{D5CDD505-2E9C-101B-9397-08002B2CF9AE}" pid="186" name="DgAlreadyRemovedParagraph">
    <vt:lpwstr>true</vt:lpwstr>
  </property>
  <property fmtid="{D5CDD505-2E9C-101B-9397-08002B2CF9AE}" pid="187" name="Docugate_Makro_DocumentFirstRefresh">
    <vt:lpwstr>Falsch</vt:lpwstr>
  </property>
</Properties>
</file>