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389" w:rsidRDefault="00940389">
      <w:pPr>
        <w:spacing w:line="312" w:lineRule="exact"/>
        <w:ind w:left="567"/>
        <w:jc w:val="both"/>
        <w:rPr>
          <w:sz w:val="24"/>
        </w:rPr>
      </w:pPr>
    </w:p>
    <w:p w:rsidR="00940389" w:rsidRDefault="00940389">
      <w:pPr>
        <w:spacing w:line="312" w:lineRule="exact"/>
        <w:ind w:left="567"/>
        <w:jc w:val="both"/>
        <w:rPr>
          <w:sz w:val="24"/>
        </w:rPr>
      </w:pPr>
    </w:p>
    <w:p w:rsidR="00940389" w:rsidRDefault="00940389">
      <w:pPr>
        <w:spacing w:line="312" w:lineRule="exact"/>
        <w:ind w:left="567"/>
        <w:jc w:val="both"/>
        <w:rPr>
          <w:sz w:val="24"/>
        </w:rPr>
      </w:pPr>
    </w:p>
    <w:p w:rsidR="00940389" w:rsidRDefault="004373BA">
      <w:pPr>
        <w:spacing w:line="312" w:lineRule="exact"/>
        <w:ind w:left="567"/>
        <w:jc w:val="both"/>
        <w:rPr>
          <w:sz w:val="24"/>
        </w:rPr>
      </w:pPr>
      <w:r>
        <w:rPr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-443230</wp:posOffset>
                </wp:positionV>
                <wp:extent cx="5414010" cy="9175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389" w:rsidRDefault="00940389">
                            <w:pPr>
                              <w:shd w:val="clear" w:color="FFFF00" w:fill="auto"/>
                              <w:jc w:val="center"/>
                              <w:rPr>
                                <w:sz w:val="16"/>
                                <w:lang w:val="de-CH"/>
                              </w:rPr>
                            </w:pPr>
                          </w:p>
                          <w:p w:rsidR="00940389" w:rsidRPr="00277574" w:rsidRDefault="00940389">
                            <w:pPr>
                              <w:shd w:val="clear" w:color="FFFF00" w:fill="auto"/>
                              <w:spacing w:line="300" w:lineRule="atLeast"/>
                              <w:jc w:val="center"/>
                              <w:rPr>
                                <w:b/>
                                <w:sz w:val="32"/>
                                <w:lang w:val="de-CH"/>
                              </w:rPr>
                            </w:pPr>
                            <w:r w:rsidRPr="00277574">
                              <w:rPr>
                                <w:b/>
                                <w:sz w:val="32"/>
                                <w:lang w:val="de-CH"/>
                              </w:rPr>
                              <w:t>Zusatz</w:t>
                            </w:r>
                            <w:r w:rsidR="00F463E8" w:rsidRPr="00277574">
                              <w:rPr>
                                <w:b/>
                                <w:sz w:val="32"/>
                                <w:lang w:val="de-CH"/>
                              </w:rPr>
                              <w:t>-Spesenr</w:t>
                            </w:r>
                            <w:r w:rsidRPr="00277574">
                              <w:rPr>
                                <w:b/>
                                <w:sz w:val="32"/>
                                <w:lang w:val="de-CH"/>
                              </w:rPr>
                              <w:t xml:space="preserve">eglement der Muster AG </w:t>
                            </w:r>
                          </w:p>
                          <w:p w:rsidR="00940389" w:rsidRDefault="00940389">
                            <w:pPr>
                              <w:shd w:val="clear" w:color="FFFF00" w:fill="auto"/>
                              <w:spacing w:line="300" w:lineRule="atLeast"/>
                              <w:jc w:val="center"/>
                              <w:rPr>
                                <w:b/>
                                <w:sz w:val="32"/>
                                <w:lang w:val="de-CH"/>
                              </w:rPr>
                            </w:pPr>
                            <w:r w:rsidRPr="00277574">
                              <w:rPr>
                                <w:b/>
                                <w:sz w:val="32"/>
                                <w:lang w:val="de-CH"/>
                              </w:rPr>
                              <w:t xml:space="preserve">für </w:t>
                            </w:r>
                            <w:r w:rsidR="00F463E8" w:rsidRPr="00277574">
                              <w:rPr>
                                <w:b/>
                                <w:sz w:val="32"/>
                                <w:lang w:val="de-CH"/>
                              </w:rPr>
                              <w:t>Mitarbeitende mit leitender Funktion</w:t>
                            </w:r>
                          </w:p>
                          <w:p w:rsidR="00940389" w:rsidRDefault="00940389">
                            <w:pPr>
                              <w:shd w:val="clear" w:color="FFFF00" w:fill="auto"/>
                              <w:jc w:val="center"/>
                              <w:rPr>
                                <w:sz w:val="24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9.9pt;margin-top:-34.9pt;width:426.3pt;height:7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" o:allowincell="f" strokeweight="3pt">
                <v:stroke linestyle="thinThin"/>
                <v:textbox>
                  <w:txbxContent>
                    <w:p w:rsidR="00940389" w:rsidRDefault="00940389">
                      <w:pPr>
                        <w:shd w:val="clear" w:color="FFFF00" w:fill="auto"/>
                        <w:jc w:val="center"/>
                        <w:rPr>
                          <w:sz w:val="16"/>
                          <w:lang w:val="de-CH"/>
                        </w:rPr>
                      </w:pPr>
                    </w:p>
                    <w:p w:rsidR="00940389" w:rsidRPr="00277574" w:rsidRDefault="00940389">
                      <w:pPr>
                        <w:shd w:val="clear" w:color="FFFF00" w:fill="auto"/>
                        <w:spacing w:line="300" w:lineRule="atLeast"/>
                        <w:jc w:val="center"/>
                        <w:rPr>
                          <w:b/>
                          <w:sz w:val="32"/>
                          <w:lang w:val="de-CH"/>
                        </w:rPr>
                      </w:pPr>
                      <w:r w:rsidRPr="00277574">
                        <w:rPr>
                          <w:b/>
                          <w:sz w:val="32"/>
                          <w:lang w:val="de-CH"/>
                        </w:rPr>
                        <w:t>Zusatz</w:t>
                      </w:r>
                      <w:r w:rsidR="00F463E8" w:rsidRPr="00277574">
                        <w:rPr>
                          <w:b/>
                          <w:sz w:val="32"/>
                          <w:lang w:val="de-CH"/>
                        </w:rPr>
                        <w:t>-Spesenr</w:t>
                      </w:r>
                      <w:r w:rsidRPr="00277574">
                        <w:rPr>
                          <w:b/>
                          <w:sz w:val="32"/>
                          <w:lang w:val="de-CH"/>
                        </w:rPr>
                        <w:t xml:space="preserve">eglement der Muster AG </w:t>
                      </w:r>
                    </w:p>
                    <w:p w:rsidR="00940389" w:rsidRDefault="00940389">
                      <w:pPr>
                        <w:shd w:val="clear" w:color="FFFF00" w:fill="auto"/>
                        <w:spacing w:line="300" w:lineRule="atLeast"/>
                        <w:jc w:val="center"/>
                        <w:rPr>
                          <w:b/>
                          <w:sz w:val="32"/>
                          <w:lang w:val="de-CH"/>
                        </w:rPr>
                      </w:pPr>
                      <w:r w:rsidRPr="00277574">
                        <w:rPr>
                          <w:b/>
                          <w:sz w:val="32"/>
                          <w:lang w:val="de-CH"/>
                        </w:rPr>
                        <w:t xml:space="preserve">für </w:t>
                      </w:r>
                      <w:r w:rsidR="00F463E8" w:rsidRPr="00277574">
                        <w:rPr>
                          <w:b/>
                          <w:sz w:val="32"/>
                          <w:lang w:val="de-CH"/>
                        </w:rPr>
                        <w:t>Mitarbeitende mit leitender Funktion</w:t>
                      </w:r>
                    </w:p>
                    <w:p w:rsidR="00940389" w:rsidRDefault="00940389">
                      <w:pPr>
                        <w:shd w:val="clear" w:color="FFFF00" w:fill="auto"/>
                        <w:jc w:val="center"/>
                        <w:rPr>
                          <w:sz w:val="24"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0389" w:rsidRDefault="00940389">
      <w:pPr>
        <w:spacing w:line="312" w:lineRule="exact"/>
        <w:ind w:left="567"/>
        <w:jc w:val="both"/>
        <w:rPr>
          <w:sz w:val="24"/>
        </w:rPr>
      </w:pPr>
    </w:p>
    <w:p w:rsidR="00940389" w:rsidRDefault="00940389">
      <w:pPr>
        <w:spacing w:before="480" w:line="312" w:lineRule="exact"/>
        <w:ind w:left="567" w:hanging="567"/>
        <w:outlineLvl w:val="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  <w:t>Grundsatz</w:t>
      </w:r>
    </w:p>
    <w:p w:rsidR="00940389" w:rsidRDefault="00F50A1B" w:rsidP="00F50A1B">
      <w:pPr>
        <w:spacing w:before="180" w:line="280" w:lineRule="exact"/>
        <w:ind w:left="567"/>
        <w:jc w:val="both"/>
        <w:rPr>
          <w:sz w:val="24"/>
        </w:rPr>
      </w:pPr>
      <w:r w:rsidRPr="00F50A1B">
        <w:rPr>
          <w:sz w:val="24"/>
        </w:rPr>
        <w:t>Das allgemeine Spesenreglement gilt auch für Mitarbeitende mit leitender Funktion, soweit dieses Zusatzreglement</w:t>
      </w:r>
      <w:r>
        <w:rPr>
          <w:sz w:val="24"/>
        </w:rPr>
        <w:t xml:space="preserve"> </w:t>
      </w:r>
      <w:r w:rsidRPr="00F50A1B">
        <w:rPr>
          <w:sz w:val="24"/>
        </w:rPr>
        <w:t>nicht davon abweicht.</w:t>
      </w:r>
    </w:p>
    <w:p w:rsidR="00940389" w:rsidRDefault="00940389">
      <w:pPr>
        <w:spacing w:before="360" w:line="312" w:lineRule="exact"/>
        <w:ind w:left="567" w:hanging="567"/>
        <w:outlineLvl w:val="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Leitende Angestellte</w:t>
      </w:r>
    </w:p>
    <w:p w:rsidR="00940389" w:rsidRDefault="00F50A1B">
      <w:pPr>
        <w:spacing w:before="180" w:line="280" w:lineRule="exact"/>
        <w:ind w:left="567"/>
        <w:jc w:val="both"/>
        <w:rPr>
          <w:sz w:val="24"/>
        </w:rPr>
      </w:pPr>
      <w:r w:rsidRPr="00F50A1B">
        <w:rPr>
          <w:sz w:val="24"/>
        </w:rPr>
        <w:t>Als Mitarbeitender mit leitender Funktion im Sinne dieses Zusatzreglements gelten folgende Mitarbeiterkategorien:</w:t>
      </w:r>
    </w:p>
    <w:p w:rsidR="001F26BC" w:rsidRPr="00277574" w:rsidRDefault="00940389">
      <w:pPr>
        <w:spacing w:before="180" w:line="280" w:lineRule="exact"/>
        <w:ind w:left="851" w:hanging="284"/>
        <w:jc w:val="both"/>
        <w:rPr>
          <w:sz w:val="24"/>
        </w:rPr>
      </w:pPr>
      <w:r w:rsidRPr="00277574">
        <w:rPr>
          <w:sz w:val="24"/>
        </w:rPr>
        <w:t>-</w:t>
      </w:r>
      <w:r w:rsidRPr="00277574">
        <w:rPr>
          <w:sz w:val="24"/>
        </w:rPr>
        <w:tab/>
      </w:r>
      <w:r w:rsidR="00F50A1B" w:rsidRPr="00277574">
        <w:rPr>
          <w:sz w:val="24"/>
        </w:rPr>
        <w:t>Funktion oder Funktionsstufe I</w:t>
      </w:r>
    </w:p>
    <w:p w:rsidR="00940389" w:rsidRPr="00277574" w:rsidRDefault="00940389">
      <w:pPr>
        <w:tabs>
          <w:tab w:val="left" w:pos="851"/>
        </w:tabs>
        <w:spacing w:line="280" w:lineRule="exact"/>
        <w:ind w:left="567"/>
        <w:jc w:val="both"/>
        <w:rPr>
          <w:sz w:val="24"/>
        </w:rPr>
      </w:pPr>
      <w:r w:rsidRPr="00277574">
        <w:rPr>
          <w:sz w:val="24"/>
        </w:rPr>
        <w:t>-</w:t>
      </w:r>
      <w:r w:rsidRPr="00277574">
        <w:rPr>
          <w:sz w:val="24"/>
        </w:rPr>
        <w:tab/>
      </w:r>
      <w:r w:rsidR="00F50A1B" w:rsidRPr="00277574">
        <w:rPr>
          <w:sz w:val="24"/>
        </w:rPr>
        <w:t>Funktion oder Funktionsstufe II</w:t>
      </w:r>
    </w:p>
    <w:p w:rsidR="00F50A1B" w:rsidRDefault="00F50A1B">
      <w:pPr>
        <w:tabs>
          <w:tab w:val="left" w:pos="851"/>
        </w:tabs>
        <w:spacing w:line="280" w:lineRule="exact"/>
        <w:ind w:left="567"/>
        <w:jc w:val="both"/>
        <w:rPr>
          <w:sz w:val="24"/>
        </w:rPr>
      </w:pPr>
      <w:r w:rsidRPr="00277574">
        <w:rPr>
          <w:sz w:val="24"/>
        </w:rPr>
        <w:t>-</w:t>
      </w:r>
      <w:r w:rsidRPr="00277574">
        <w:rPr>
          <w:sz w:val="24"/>
        </w:rPr>
        <w:tab/>
        <w:t>Funktion oder Funktionsstufe III</w:t>
      </w:r>
    </w:p>
    <w:p w:rsidR="00940389" w:rsidRDefault="00940389">
      <w:pPr>
        <w:spacing w:before="360" w:line="280" w:lineRule="exact"/>
        <w:ind w:left="567" w:hanging="567"/>
        <w:outlineLvl w:val="0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  <w:t>Pauschalspesen</w:t>
      </w:r>
    </w:p>
    <w:p w:rsidR="00251F13" w:rsidRPr="00251F13" w:rsidRDefault="00251F13" w:rsidP="00251F13">
      <w:pPr>
        <w:spacing w:before="180" w:line="280" w:lineRule="exact"/>
        <w:ind w:left="567"/>
        <w:jc w:val="both"/>
        <w:rPr>
          <w:sz w:val="24"/>
        </w:rPr>
      </w:pPr>
      <w:r w:rsidRPr="00251F13">
        <w:rPr>
          <w:sz w:val="24"/>
        </w:rPr>
        <w:t>Den in Ziffer 2 genannten Mitarbeitenden mit leitender Funktion erwachsen im Rahmen ihrer geschäftlichen</w:t>
      </w:r>
      <w:r>
        <w:rPr>
          <w:sz w:val="24"/>
        </w:rPr>
        <w:t xml:space="preserve"> </w:t>
      </w:r>
      <w:r w:rsidRPr="00251F13">
        <w:rPr>
          <w:sz w:val="24"/>
        </w:rPr>
        <w:t>Tätigkeit Auslagen für Repräsentation sowie Akquisition und Pflege von Kundenbeziehungen. Die</w:t>
      </w:r>
      <w:r>
        <w:rPr>
          <w:sz w:val="24"/>
        </w:rPr>
        <w:t xml:space="preserve"> </w:t>
      </w:r>
      <w:r w:rsidRPr="00251F13">
        <w:rPr>
          <w:sz w:val="24"/>
        </w:rPr>
        <w:t>Belege für diese Repräsentations- und Kleinauslagen (Bagatellspesen) sind teilweise nicht oder nur unter</w:t>
      </w:r>
      <w:r>
        <w:rPr>
          <w:sz w:val="24"/>
        </w:rPr>
        <w:t xml:space="preserve"> </w:t>
      </w:r>
      <w:r w:rsidRPr="00251F13">
        <w:rPr>
          <w:sz w:val="24"/>
        </w:rPr>
        <w:t>schwierigen Bedingungen zu beschaffen. Aus Gründen einer rationellen Abwicklung wird den Mitarbeitenden</w:t>
      </w:r>
      <w:r>
        <w:rPr>
          <w:sz w:val="24"/>
        </w:rPr>
        <w:t xml:space="preserve"> </w:t>
      </w:r>
      <w:r w:rsidRPr="00251F13">
        <w:rPr>
          <w:sz w:val="24"/>
        </w:rPr>
        <w:t>mit leitender Funktion zur Abgeltung dieser Kleinauslagen eine Pauschalentschädigung ausgerichtet.</w:t>
      </w:r>
    </w:p>
    <w:p w:rsidR="00940389" w:rsidRDefault="00251F13" w:rsidP="00251F13">
      <w:pPr>
        <w:spacing w:before="180" w:line="280" w:lineRule="exact"/>
        <w:ind w:left="567"/>
        <w:jc w:val="both"/>
        <w:rPr>
          <w:sz w:val="24"/>
        </w:rPr>
      </w:pPr>
      <w:r w:rsidRPr="00251F13">
        <w:rPr>
          <w:sz w:val="24"/>
        </w:rPr>
        <w:t>Mit dieser Pauschalentschädigung sind sämtliche Kleinausgaben im In- und Ausland bis zur Höhe von</w:t>
      </w:r>
      <w:r>
        <w:rPr>
          <w:sz w:val="24"/>
        </w:rPr>
        <w:t xml:space="preserve"> </w:t>
      </w:r>
      <w:r w:rsidRPr="00251F13">
        <w:rPr>
          <w:sz w:val="24"/>
        </w:rPr>
        <w:t>CHF 50 pro Ereignis abgegolten, wobei jede Ausgabe als einzelnes Ereignis gilt. Verschiedene zeitlich</w:t>
      </w:r>
      <w:r>
        <w:rPr>
          <w:sz w:val="24"/>
        </w:rPr>
        <w:t xml:space="preserve"> </w:t>
      </w:r>
      <w:r w:rsidRPr="00251F13">
        <w:rPr>
          <w:sz w:val="24"/>
        </w:rPr>
        <w:t>gestaffelte Ausgaben können somit auch dann nicht zusammengezählt werden, wenn sie im Rahmen</w:t>
      </w:r>
      <w:r>
        <w:rPr>
          <w:sz w:val="24"/>
        </w:rPr>
        <w:t xml:space="preserve"> </w:t>
      </w:r>
      <w:r w:rsidRPr="00251F13">
        <w:rPr>
          <w:sz w:val="24"/>
        </w:rPr>
        <w:t>eines einzigen Geschäftsauftrags (beispielsweise anlässlich einer Geschäftsreise) anfallen (Kumulationsverbot).</w:t>
      </w:r>
      <w:r>
        <w:rPr>
          <w:sz w:val="24"/>
        </w:rPr>
        <w:t xml:space="preserve"> </w:t>
      </w:r>
      <w:r w:rsidRPr="00251F13">
        <w:rPr>
          <w:sz w:val="24"/>
        </w:rPr>
        <w:t>Pauschalspesenberechtigte können diese Kleinausgaben bis CHF 50 nicht effektiv geltend machen.</w:t>
      </w:r>
    </w:p>
    <w:p w:rsidR="00940389" w:rsidRDefault="00940389">
      <w:pPr>
        <w:spacing w:before="180" w:line="280" w:lineRule="exact"/>
        <w:ind w:left="567"/>
        <w:jc w:val="both"/>
        <w:rPr>
          <w:sz w:val="24"/>
        </w:rPr>
      </w:pPr>
      <w:r>
        <w:rPr>
          <w:sz w:val="24"/>
        </w:rPr>
        <w:t>Als Kleinausgaben im Sinne dieses Zusatzreglements gelten insbesondere:</w:t>
      </w:r>
    </w:p>
    <w:p w:rsidR="00251F13" w:rsidRDefault="00251F13">
      <w:pPr>
        <w:spacing w:before="180" w:line="280" w:lineRule="exact"/>
        <w:ind w:left="567"/>
        <w:jc w:val="both"/>
        <w:rPr>
          <w:sz w:val="24"/>
        </w:rPr>
      </w:pPr>
    </w:p>
    <w:p w:rsidR="00251F13" w:rsidRDefault="00940389" w:rsidP="00251F13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251F13" w:rsidRPr="00251F13">
        <w:rPr>
          <w:sz w:val="24"/>
        </w:rPr>
        <w:t>Einladungen von geschäftlichen Kontakten zu kleineren Verpflegungen im Restaurant</w:t>
      </w:r>
    </w:p>
    <w:p w:rsidR="00940389" w:rsidRDefault="00940389" w:rsidP="00251F13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251F13" w:rsidRPr="00251F13">
        <w:rPr>
          <w:sz w:val="24"/>
        </w:rPr>
        <w:t>Einladungen von geschäftlichen Kontakten zu Verpflegungen zu Hause, unabhängig von der Höhe</w:t>
      </w:r>
      <w:r w:rsidR="00251F13">
        <w:rPr>
          <w:sz w:val="24"/>
        </w:rPr>
        <w:t xml:space="preserve"> </w:t>
      </w:r>
      <w:r w:rsidR="00251F13" w:rsidRPr="00251F13">
        <w:rPr>
          <w:sz w:val="24"/>
        </w:rPr>
        <w:t>der tatsächlichen Kosten, aber exkl. Catering-Service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Geschenke, die bei Einladungen überbracht werden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Zwischenverpflegungen </w:t>
      </w:r>
      <w:r w:rsidRPr="00751638">
        <w:rPr>
          <w:sz w:val="24"/>
        </w:rPr>
        <w:t xml:space="preserve">(Mittag- und Abendessen </w:t>
      </w:r>
      <w:r w:rsidR="00251F13">
        <w:rPr>
          <w:sz w:val="24"/>
        </w:rPr>
        <w:t xml:space="preserve">auf </w:t>
      </w:r>
      <w:r w:rsidRPr="00751638">
        <w:rPr>
          <w:sz w:val="24"/>
        </w:rPr>
        <w:t xml:space="preserve">Geschäftsreisen können </w:t>
      </w:r>
      <w:r w:rsidR="00251F13">
        <w:rPr>
          <w:sz w:val="24"/>
        </w:rPr>
        <w:t>jedoch</w:t>
      </w:r>
      <w:r w:rsidRPr="00751638">
        <w:rPr>
          <w:sz w:val="24"/>
        </w:rPr>
        <w:t xml:space="preserve"> abgerechnet werden)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Trinkgelder </w:t>
      </w:r>
    </w:p>
    <w:p w:rsidR="00251F13" w:rsidRDefault="00251F13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 w:rsidRPr="00277574">
        <w:rPr>
          <w:sz w:val="24"/>
        </w:rPr>
        <w:t>-</w:t>
      </w:r>
      <w:r w:rsidRPr="00277574">
        <w:rPr>
          <w:sz w:val="24"/>
        </w:rPr>
        <w:tab/>
        <w:t>Gespräche vom privaten und vom Mobiltelefon</w:t>
      </w:r>
    </w:p>
    <w:p w:rsidR="00251F13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 w:rsidRPr="00277574">
        <w:rPr>
          <w:sz w:val="24"/>
        </w:rPr>
        <w:lastRenderedPageBreak/>
        <w:t>-</w:t>
      </w:r>
      <w:r w:rsidRPr="00277574">
        <w:rPr>
          <w:sz w:val="24"/>
        </w:rPr>
        <w:tab/>
      </w:r>
      <w:r w:rsidR="00251F13" w:rsidRPr="00277574">
        <w:rPr>
          <w:sz w:val="24"/>
        </w:rPr>
        <w:t>Einsatz privater Kommunikationsmittel, unabhängig von der Höhe der tatsächlichen Kosten</w:t>
      </w:r>
    </w:p>
    <w:p w:rsidR="00940389" w:rsidRPr="00277574" w:rsidRDefault="00251F13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940389" w:rsidRPr="00277574">
        <w:rPr>
          <w:sz w:val="24"/>
        </w:rPr>
        <w:t>Einladungen und Geschenke an Mitarbeitende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 w:rsidRPr="00277574">
        <w:rPr>
          <w:sz w:val="24"/>
        </w:rPr>
        <w:t>-</w:t>
      </w:r>
      <w:r w:rsidRPr="00277574">
        <w:rPr>
          <w:sz w:val="24"/>
        </w:rPr>
        <w:tab/>
        <w:t xml:space="preserve">Beiträge an Institutionen, Vereine etc. (ohne </w:t>
      </w:r>
      <w:proofErr w:type="spellStart"/>
      <w:r w:rsidRPr="00277574">
        <w:rPr>
          <w:sz w:val="24"/>
        </w:rPr>
        <w:t>Kostenlimit</w:t>
      </w:r>
      <w:r w:rsidR="00D2544B" w:rsidRPr="00277574">
        <w:rPr>
          <w:sz w:val="24"/>
        </w:rPr>
        <w:t>e</w:t>
      </w:r>
      <w:proofErr w:type="spellEnd"/>
      <w:r w:rsidRPr="00277574">
        <w:rPr>
          <w:sz w:val="24"/>
        </w:rPr>
        <w:t xml:space="preserve"> von CHF 50</w:t>
      </w:r>
      <w:bookmarkStart w:id="0" w:name="_GoBack"/>
      <w:bookmarkEnd w:id="0"/>
      <w:r w:rsidRPr="00277574">
        <w:rPr>
          <w:sz w:val="24"/>
        </w:rPr>
        <w:t>)</w:t>
      </w:r>
    </w:p>
    <w:p w:rsidR="00940389" w:rsidRPr="00277574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Nebenauslagen für </w:t>
      </w:r>
      <w:r w:rsidRPr="00277574">
        <w:rPr>
          <w:sz w:val="24"/>
        </w:rPr>
        <w:t xml:space="preserve">und mit Kunden ohne </w:t>
      </w:r>
      <w:r w:rsidR="00C050C3" w:rsidRPr="00277574">
        <w:rPr>
          <w:sz w:val="24"/>
        </w:rPr>
        <w:t>Originalbelege</w:t>
      </w:r>
    </w:p>
    <w:p w:rsidR="00940389" w:rsidRPr="00277574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 w:rsidRPr="00277574">
        <w:rPr>
          <w:sz w:val="24"/>
        </w:rPr>
        <w:t>-</w:t>
      </w:r>
      <w:r w:rsidRPr="00277574">
        <w:rPr>
          <w:sz w:val="24"/>
        </w:rPr>
        <w:tab/>
        <w:t>Kleinauslagen bei Besprechungen und Sitzungen</w:t>
      </w:r>
    </w:p>
    <w:p w:rsidR="00940389" w:rsidRPr="00277574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 w:rsidRPr="00277574">
        <w:rPr>
          <w:sz w:val="24"/>
        </w:rPr>
        <w:t>-</w:t>
      </w:r>
      <w:r w:rsidRPr="00277574">
        <w:rPr>
          <w:sz w:val="24"/>
        </w:rPr>
        <w:tab/>
      </w:r>
      <w:r w:rsidR="00C050C3" w:rsidRPr="00277574">
        <w:rPr>
          <w:sz w:val="24"/>
        </w:rPr>
        <w:t>Tram-, Bus-, Bahn-, Taxi- und Schifffahrten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 w:rsidRPr="00277574">
        <w:rPr>
          <w:sz w:val="24"/>
        </w:rPr>
        <w:t>-</w:t>
      </w:r>
      <w:r w:rsidRPr="00277574">
        <w:rPr>
          <w:sz w:val="24"/>
        </w:rPr>
        <w:tab/>
      </w:r>
      <w:r w:rsidR="00C050C3" w:rsidRPr="00277574">
        <w:rPr>
          <w:sz w:val="24"/>
        </w:rPr>
        <w:t>Park-, Strassen- und Mautgebühren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Geschäftsfahrten mit dem </w:t>
      </w:r>
      <w:r w:rsidR="00C050C3" w:rsidRPr="00C050C3">
        <w:rPr>
          <w:sz w:val="24"/>
        </w:rPr>
        <w:t>Privatfahrzeug</w:t>
      </w:r>
      <w:r w:rsidR="00C050C3">
        <w:rPr>
          <w:sz w:val="24"/>
        </w:rPr>
        <w:t xml:space="preserve"> </w:t>
      </w:r>
      <w:r>
        <w:rPr>
          <w:sz w:val="24"/>
        </w:rPr>
        <w:t>im Ortsrayon (Radius 30 km)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Gepäckträger, Garderobengebühren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Post- und Telefongebühren</w:t>
      </w:r>
    </w:p>
    <w:p w:rsidR="00940389" w:rsidRDefault="00940389">
      <w:pPr>
        <w:tabs>
          <w:tab w:val="left" w:pos="851"/>
        </w:tabs>
        <w:spacing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Kleiderreinigungen</w:t>
      </w:r>
    </w:p>
    <w:p w:rsidR="00940389" w:rsidRDefault="00940389">
      <w:pPr>
        <w:spacing w:before="360" w:line="280" w:lineRule="exact"/>
        <w:ind w:left="567" w:hanging="567"/>
        <w:outlineLvl w:val="0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  <w:t>Höhe der Pauschalspesen</w:t>
      </w:r>
      <w:r w:rsidR="003C45E9">
        <w:rPr>
          <w:b/>
          <w:sz w:val="24"/>
        </w:rPr>
        <w:t xml:space="preserve"> </w:t>
      </w:r>
      <w:r w:rsidR="003C45E9" w:rsidRPr="003C45E9">
        <w:rPr>
          <w:b/>
          <w:sz w:val="24"/>
        </w:rPr>
        <w:t>bei 100 % Beschäftigungsgrad</w:t>
      </w:r>
    </w:p>
    <w:p w:rsidR="00940389" w:rsidRDefault="00940389">
      <w:pPr>
        <w:spacing w:before="180" w:line="280" w:lineRule="exact"/>
        <w:ind w:left="567"/>
        <w:jc w:val="both"/>
        <w:rPr>
          <w:sz w:val="24"/>
        </w:rPr>
      </w:pPr>
      <w:r>
        <w:rPr>
          <w:sz w:val="24"/>
        </w:rPr>
        <w:t>Die (maximale) Höhe der Pauschalspesen pro Jahr beträgt für:</w:t>
      </w:r>
    </w:p>
    <w:p w:rsidR="00940389" w:rsidRDefault="00940389">
      <w:pPr>
        <w:spacing w:before="180" w:line="280" w:lineRule="exact"/>
        <w:ind w:left="851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C050C3" w:rsidRPr="00F50A1B">
        <w:rPr>
          <w:sz w:val="24"/>
        </w:rPr>
        <w:t>Funktion oder Funktionsstufe 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CHF ........</w:t>
      </w:r>
    </w:p>
    <w:p w:rsidR="00940389" w:rsidRDefault="00940389">
      <w:pPr>
        <w:spacing w:line="280" w:lineRule="exact"/>
        <w:ind w:left="852" w:hanging="285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C050C3" w:rsidRPr="00F50A1B">
        <w:rPr>
          <w:sz w:val="24"/>
        </w:rPr>
        <w:t>Funktion oder Funktionsstufe I</w:t>
      </w:r>
      <w:r w:rsidR="00C050C3">
        <w:rPr>
          <w:sz w:val="24"/>
        </w:rPr>
        <w:t>I</w:t>
      </w:r>
      <w:r>
        <w:rPr>
          <w:sz w:val="24"/>
        </w:rPr>
        <w:tab/>
      </w:r>
      <w:r w:rsidR="001F26BC">
        <w:rPr>
          <w:sz w:val="24"/>
        </w:rPr>
        <w:tab/>
      </w:r>
      <w:r w:rsidR="001F26B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CHF ........</w:t>
      </w:r>
    </w:p>
    <w:p w:rsidR="00940389" w:rsidRDefault="00C050C3">
      <w:pPr>
        <w:spacing w:line="280" w:lineRule="exact"/>
        <w:ind w:left="852" w:hanging="285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Pr="00F50A1B">
        <w:rPr>
          <w:sz w:val="24"/>
        </w:rPr>
        <w:t>Funktion oder Funktionsstufe I</w:t>
      </w:r>
      <w:r>
        <w:rPr>
          <w:sz w:val="24"/>
        </w:rPr>
        <w:t>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CHF ........</w:t>
      </w:r>
      <w:r w:rsidR="00940389">
        <w:rPr>
          <w:sz w:val="24"/>
        </w:rPr>
        <w:tab/>
      </w:r>
    </w:p>
    <w:p w:rsidR="00940389" w:rsidRDefault="00F463E8" w:rsidP="00F463E8">
      <w:pPr>
        <w:spacing w:before="180" w:line="280" w:lineRule="exact"/>
        <w:ind w:left="567"/>
        <w:jc w:val="both"/>
        <w:rPr>
          <w:sz w:val="24"/>
        </w:rPr>
      </w:pPr>
      <w:r w:rsidRPr="00F463E8">
        <w:rPr>
          <w:sz w:val="24"/>
        </w:rPr>
        <w:t>Der ausbezahlte Pauschalspesenbetrag wird im Lohnausweis unter Repräsentationsspesen, Ziffer</w:t>
      </w:r>
      <w:r>
        <w:rPr>
          <w:sz w:val="24"/>
        </w:rPr>
        <w:t xml:space="preserve"> </w:t>
      </w:r>
      <w:r w:rsidRPr="00F463E8">
        <w:rPr>
          <w:sz w:val="24"/>
        </w:rPr>
        <w:t>13.2.1, ausgewiesen. Bei einem reduzierten Beschäftigungsgrad werden die Pauschalspesen anteilsmässig</w:t>
      </w:r>
      <w:r>
        <w:rPr>
          <w:sz w:val="24"/>
        </w:rPr>
        <w:t xml:space="preserve"> </w:t>
      </w:r>
      <w:r w:rsidRPr="00F463E8">
        <w:rPr>
          <w:sz w:val="24"/>
        </w:rPr>
        <w:t>gekürzt. Die genehmigten Pauschalspesen unterliegen nicht einer allfälligen Quellensteuer</w:t>
      </w:r>
      <w:r w:rsidR="00940389">
        <w:rPr>
          <w:sz w:val="24"/>
        </w:rPr>
        <w:t>.</w:t>
      </w:r>
    </w:p>
    <w:p w:rsidR="00940389" w:rsidRDefault="00940389">
      <w:pPr>
        <w:spacing w:before="360" w:line="280" w:lineRule="exact"/>
        <w:ind w:left="567" w:hanging="567"/>
        <w:outlineLvl w:val="0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  <w:t>Gültigkeit</w:t>
      </w:r>
    </w:p>
    <w:p w:rsidR="00940389" w:rsidRDefault="00940389">
      <w:pPr>
        <w:spacing w:before="180" w:line="280" w:lineRule="exact"/>
        <w:ind w:left="567"/>
        <w:jc w:val="both"/>
        <w:rPr>
          <w:sz w:val="24"/>
        </w:rPr>
      </w:pPr>
      <w:r>
        <w:rPr>
          <w:sz w:val="24"/>
        </w:rPr>
        <w:t>Dieses Zusatz-Spe</w:t>
      </w:r>
      <w:r w:rsidR="008D0335">
        <w:rPr>
          <w:sz w:val="24"/>
        </w:rPr>
        <w:t>senreglement wurde der Kantonalen Steuerverwaltung Zug</w:t>
      </w:r>
      <w:r>
        <w:rPr>
          <w:sz w:val="24"/>
        </w:rPr>
        <w:t xml:space="preserve"> zur Prüfung unterbreitet und von diese</w:t>
      </w:r>
      <w:r w:rsidR="00F463E8">
        <w:rPr>
          <w:sz w:val="24"/>
        </w:rPr>
        <w:t>r</w:t>
      </w:r>
      <w:r>
        <w:rPr>
          <w:sz w:val="24"/>
        </w:rPr>
        <w:t xml:space="preserve"> genehmigt.</w:t>
      </w:r>
    </w:p>
    <w:p w:rsidR="00940389" w:rsidRDefault="00940389">
      <w:pPr>
        <w:spacing w:before="180" w:line="280" w:lineRule="exact"/>
        <w:ind w:left="567"/>
        <w:jc w:val="both"/>
        <w:rPr>
          <w:sz w:val="24"/>
        </w:rPr>
      </w:pPr>
      <w:r>
        <w:rPr>
          <w:sz w:val="24"/>
        </w:rPr>
        <w:t>Jede Änderung dieses Zusatz-</w:t>
      </w:r>
      <w:r w:rsidRPr="00277574">
        <w:rPr>
          <w:sz w:val="24"/>
        </w:rPr>
        <w:t xml:space="preserve">Spesenreglements wird </w:t>
      </w:r>
      <w:r w:rsidR="00F463E8" w:rsidRPr="00277574">
        <w:rPr>
          <w:sz w:val="24"/>
        </w:rPr>
        <w:t xml:space="preserve">vorgängig </w:t>
      </w:r>
      <w:r w:rsidR="00452EC7" w:rsidRPr="00277574">
        <w:rPr>
          <w:sz w:val="24"/>
        </w:rPr>
        <w:t xml:space="preserve">der Kantonalen Steuerverwaltung Zug </w:t>
      </w:r>
      <w:r w:rsidRPr="00277574">
        <w:rPr>
          <w:sz w:val="24"/>
        </w:rPr>
        <w:t>zur Genehmigung unterbreitet.</w:t>
      </w:r>
    </w:p>
    <w:p w:rsidR="00940389" w:rsidRDefault="00940389">
      <w:pPr>
        <w:spacing w:before="360" w:line="280" w:lineRule="exact"/>
        <w:ind w:left="567" w:hanging="567"/>
        <w:outlineLvl w:val="0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z w:val="24"/>
        </w:rPr>
        <w:tab/>
        <w:t>Inkrafttreten</w:t>
      </w:r>
    </w:p>
    <w:p w:rsidR="00940389" w:rsidRDefault="00940389">
      <w:pPr>
        <w:spacing w:before="180" w:line="280" w:lineRule="exact"/>
        <w:ind w:left="567"/>
        <w:jc w:val="both"/>
        <w:rPr>
          <w:sz w:val="24"/>
        </w:rPr>
      </w:pPr>
      <w:r>
        <w:rPr>
          <w:sz w:val="24"/>
        </w:rPr>
        <w:t xml:space="preserve">Dieses Zusatz-Spesenreglement tritt </w:t>
      </w:r>
      <w:r w:rsidR="001A60AC">
        <w:rPr>
          <w:sz w:val="24"/>
        </w:rPr>
        <w:t xml:space="preserve">am </w:t>
      </w:r>
      <w:r>
        <w:rPr>
          <w:sz w:val="24"/>
        </w:rPr>
        <w:t>1. Januar 20</w:t>
      </w:r>
      <w:r w:rsidR="00864FAE">
        <w:rPr>
          <w:sz w:val="24"/>
        </w:rPr>
        <w:t>2</w:t>
      </w:r>
      <w:r w:rsidR="00B85346">
        <w:rPr>
          <w:sz w:val="24"/>
        </w:rPr>
        <w:t>2</w:t>
      </w:r>
      <w:r>
        <w:rPr>
          <w:sz w:val="24"/>
        </w:rPr>
        <w:t xml:space="preserve"> in Kraft.</w:t>
      </w:r>
    </w:p>
    <w:p w:rsidR="00940389" w:rsidRDefault="00940389">
      <w:pPr>
        <w:spacing w:before="180" w:line="280" w:lineRule="exact"/>
        <w:ind w:left="567"/>
        <w:jc w:val="both"/>
        <w:rPr>
          <w:sz w:val="24"/>
        </w:rPr>
      </w:pPr>
    </w:p>
    <w:p w:rsidR="00940389" w:rsidRDefault="00940389">
      <w:pPr>
        <w:spacing w:before="180" w:line="280" w:lineRule="exact"/>
        <w:ind w:left="567"/>
        <w:jc w:val="both"/>
        <w:rPr>
          <w:sz w:val="18"/>
          <w:lang w:val="de-CH"/>
        </w:rPr>
      </w:pPr>
    </w:p>
    <w:sectPr w:rsidR="00940389" w:rsidSect="004E3467">
      <w:footerReference w:type="default" r:id="rId7"/>
      <w:pgSz w:w="11906" w:h="16838" w:code="9"/>
      <w:pgMar w:top="1134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48C" w:rsidRDefault="0097548C">
      <w:r>
        <w:separator/>
      </w:r>
    </w:p>
  </w:endnote>
  <w:endnote w:type="continuationSeparator" w:id="0">
    <w:p w:rsidR="0097548C" w:rsidRDefault="0097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67" w:rsidRPr="004E3467" w:rsidRDefault="004E3467" w:rsidP="004E3467">
    <w:pPr>
      <w:pStyle w:val="Fuzeile"/>
      <w:tabs>
        <w:tab w:val="clear" w:pos="4536"/>
        <w:tab w:val="center" w:pos="4535"/>
      </w:tabs>
      <w:rPr>
        <w:sz w:val="16"/>
        <w:szCs w:val="16"/>
      </w:rPr>
    </w:pPr>
    <w:r>
      <w:rPr>
        <w:rStyle w:val="Seitenzahl"/>
        <w:sz w:val="16"/>
        <w:szCs w:val="16"/>
      </w:rPr>
      <w:tab/>
    </w:r>
    <w:r w:rsidRPr="004E3467">
      <w:rPr>
        <w:rStyle w:val="Seitenzahl"/>
        <w:sz w:val="16"/>
        <w:szCs w:val="16"/>
      </w:rPr>
      <w:fldChar w:fldCharType="begin"/>
    </w:r>
    <w:r w:rsidRPr="004E3467">
      <w:rPr>
        <w:rStyle w:val="Seitenzahl"/>
        <w:sz w:val="16"/>
        <w:szCs w:val="16"/>
      </w:rPr>
      <w:instrText xml:space="preserve"> PAGE </w:instrText>
    </w:r>
    <w:r w:rsidRPr="004E3467">
      <w:rPr>
        <w:rStyle w:val="Seitenzahl"/>
        <w:sz w:val="16"/>
        <w:szCs w:val="16"/>
      </w:rPr>
      <w:fldChar w:fldCharType="separate"/>
    </w:r>
    <w:r w:rsidR="00751638">
      <w:rPr>
        <w:rStyle w:val="Seitenzahl"/>
        <w:noProof/>
        <w:sz w:val="16"/>
        <w:szCs w:val="16"/>
      </w:rPr>
      <w:t>2</w:t>
    </w:r>
    <w:r w:rsidRPr="004E3467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48C" w:rsidRDefault="0097548C">
      <w:pPr>
        <w:pStyle w:val="Funotentext"/>
        <w:spacing w:after="60" w:line="240" w:lineRule="atLeast"/>
        <w:rPr>
          <w:sz w:val="22"/>
        </w:rPr>
      </w:pPr>
      <w:r>
        <w:rPr>
          <w:sz w:val="22"/>
        </w:rPr>
        <w:t>______________________________</w:t>
      </w:r>
    </w:p>
  </w:footnote>
  <w:footnote w:type="continuationSeparator" w:id="0">
    <w:p w:rsidR="0097548C" w:rsidRDefault="0097548C">
      <w:pPr>
        <w:spacing w:after="60" w:line="24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</w:t>
      </w:r>
    </w:p>
  </w:footnote>
  <w:footnote w:type="continuationNotice" w:id="1">
    <w:p w:rsidR="0097548C" w:rsidRDefault="0097548C">
      <w:pPr>
        <w:spacing w:after="60" w:line="240" w:lineRule="atLea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89"/>
    <w:rsid w:val="00120CC4"/>
    <w:rsid w:val="00187877"/>
    <w:rsid w:val="001A60AC"/>
    <w:rsid w:val="001F26BC"/>
    <w:rsid w:val="00251F13"/>
    <w:rsid w:val="00277574"/>
    <w:rsid w:val="003C45E9"/>
    <w:rsid w:val="004373BA"/>
    <w:rsid w:val="00452EC7"/>
    <w:rsid w:val="004D0282"/>
    <w:rsid w:val="004E3467"/>
    <w:rsid w:val="005618DB"/>
    <w:rsid w:val="006375DD"/>
    <w:rsid w:val="007137A1"/>
    <w:rsid w:val="00751638"/>
    <w:rsid w:val="00755370"/>
    <w:rsid w:val="007A45BF"/>
    <w:rsid w:val="00864FAE"/>
    <w:rsid w:val="008C4683"/>
    <w:rsid w:val="008D0335"/>
    <w:rsid w:val="00940389"/>
    <w:rsid w:val="0097548C"/>
    <w:rsid w:val="00B85346"/>
    <w:rsid w:val="00BB6C1A"/>
    <w:rsid w:val="00C00D89"/>
    <w:rsid w:val="00C050C3"/>
    <w:rsid w:val="00CC6428"/>
    <w:rsid w:val="00CF78CB"/>
    <w:rsid w:val="00D2544B"/>
    <w:rsid w:val="00D42DAE"/>
    <w:rsid w:val="00E07378"/>
    <w:rsid w:val="00E252D8"/>
    <w:rsid w:val="00F463E8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0191FF0-4DCC-4DD0-A332-F102E73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</w:tabs>
      <w:spacing w:before="240" w:after="60" w:line="720" w:lineRule="auto"/>
      <w:jc w:val="both"/>
      <w:outlineLvl w:val="0"/>
    </w:pPr>
    <w:rPr>
      <w:b/>
      <w:kern w:val="28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40" w:lineRule="atLeast"/>
      <w:jc w:val="center"/>
      <w:outlineLvl w:val="3"/>
    </w:pPr>
    <w:rPr>
      <w:b/>
      <w:sz w:val="5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709"/>
      </w:tabs>
      <w:spacing w:line="720" w:lineRule="auto"/>
      <w:ind w:firstLine="709"/>
      <w:jc w:val="center"/>
      <w:outlineLvl w:val="4"/>
    </w:pPr>
    <w:rPr>
      <w:b/>
      <w:i/>
      <w:sz w:val="28"/>
      <w:lang w:val="de-CH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8618"/>
      </w:tabs>
      <w:spacing w:line="340" w:lineRule="atLeast"/>
      <w:jc w:val="both"/>
      <w:outlineLvl w:val="5"/>
    </w:pPr>
    <w:rPr>
      <w:b/>
      <w:i/>
      <w:sz w:val="28"/>
      <w:lang w:val="de-CH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09"/>
      </w:tabs>
      <w:spacing w:before="240" w:after="240" w:line="240" w:lineRule="atLeast"/>
      <w:jc w:val="both"/>
      <w:outlineLvl w:val="6"/>
    </w:pPr>
    <w:rPr>
      <w:sz w:val="26"/>
      <w:lang w:val="de-CH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709"/>
      </w:tabs>
      <w:spacing w:before="240" w:line="480" w:lineRule="auto"/>
      <w:jc w:val="both"/>
      <w:outlineLvl w:val="7"/>
    </w:pPr>
    <w:rPr>
      <w:b/>
      <w:sz w:val="32"/>
      <w:lang w:val="de-CH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-426"/>
      </w:tabs>
      <w:spacing w:line="480" w:lineRule="auto"/>
      <w:jc w:val="both"/>
      <w:outlineLvl w:val="8"/>
    </w:pPr>
    <w:rPr>
      <w:sz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Pr>
      <w:vertAlign w:val="superscript"/>
    </w:rPr>
  </w:style>
  <w:style w:type="paragraph" w:styleId="Textkrper-Einzug2">
    <w:name w:val="Body Text Indent 2"/>
    <w:basedOn w:val="Standard"/>
    <w:pPr>
      <w:tabs>
        <w:tab w:val="left" w:pos="709"/>
      </w:tabs>
      <w:spacing w:line="400" w:lineRule="atLeast"/>
      <w:ind w:firstLine="340"/>
      <w:jc w:val="both"/>
    </w:pPr>
    <w:rPr>
      <w:rFonts w:ascii="Century Gothic" w:hAnsi="Century Gothic"/>
    </w:rPr>
  </w:style>
  <w:style w:type="paragraph" w:styleId="Textkrper-Einzug3">
    <w:name w:val="Body Text Indent 3"/>
    <w:basedOn w:val="Standard"/>
    <w:pPr>
      <w:tabs>
        <w:tab w:val="left" w:pos="-426"/>
      </w:tabs>
      <w:spacing w:line="480" w:lineRule="auto"/>
      <w:ind w:firstLine="709"/>
      <w:jc w:val="both"/>
    </w:pPr>
    <w:rPr>
      <w:sz w:val="28"/>
    </w:rPr>
  </w:style>
  <w:style w:type="paragraph" w:styleId="Funotentext">
    <w:name w:val="footnote text"/>
    <w:basedOn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BuchTitelIzweizeilig">
    <w:name w:val="Buch Titel I. zweizeilig"/>
    <w:basedOn w:val="berschrift2"/>
    <w:pPr>
      <w:spacing w:line="600" w:lineRule="auto"/>
      <w:jc w:val="both"/>
    </w:pPr>
    <w:rPr>
      <w:i w:val="0"/>
      <w:sz w:val="28"/>
      <w:lang w:val="de-CH"/>
    </w:rPr>
  </w:style>
  <w:style w:type="paragraph" w:customStyle="1" w:styleId="BuchTextkrper">
    <w:name w:val="Buch Textkörper"/>
    <w:basedOn w:val="Standard"/>
    <w:pPr>
      <w:tabs>
        <w:tab w:val="left" w:pos="709"/>
        <w:tab w:val="left" w:pos="1134"/>
      </w:tabs>
      <w:spacing w:line="480" w:lineRule="auto"/>
      <w:ind w:firstLine="709"/>
      <w:jc w:val="both"/>
    </w:pPr>
    <w:rPr>
      <w:sz w:val="28"/>
      <w:lang w:val="de-CH"/>
    </w:rPr>
  </w:style>
  <w:style w:type="paragraph" w:customStyle="1" w:styleId="BuchTitelTeil1">
    <w:name w:val="Buch Titel Teil 1"/>
    <w:basedOn w:val="Standard"/>
    <w:pPr>
      <w:keepNext/>
      <w:tabs>
        <w:tab w:val="left" w:pos="1134"/>
      </w:tabs>
      <w:spacing w:before="240" w:after="60" w:line="720" w:lineRule="auto"/>
      <w:jc w:val="both"/>
      <w:outlineLvl w:val="0"/>
    </w:pPr>
    <w:rPr>
      <w:b/>
      <w:kern w:val="28"/>
      <w:sz w:val="28"/>
      <w:lang w:val="de-CH"/>
    </w:rPr>
  </w:style>
  <w:style w:type="paragraph" w:customStyle="1" w:styleId="BuchTitel1einzeilig">
    <w:name w:val="Buch Titel 1. einzeilig"/>
    <w:basedOn w:val="berschrift1"/>
    <w:pPr>
      <w:tabs>
        <w:tab w:val="left" w:pos="709"/>
      </w:tabs>
    </w:pPr>
  </w:style>
  <w:style w:type="paragraph" w:customStyle="1" w:styleId="BuchTitelIeinzeilig">
    <w:name w:val="Buch Titel I. einzeilig"/>
    <w:basedOn w:val="berschrift1"/>
    <w:pPr>
      <w:tabs>
        <w:tab w:val="left" w:pos="709"/>
      </w:tabs>
    </w:pPr>
  </w:style>
  <w:style w:type="paragraph" w:customStyle="1" w:styleId="BuchTitelA">
    <w:name w:val="Buch Titel A."/>
    <w:basedOn w:val="berschrift1"/>
    <w:pPr>
      <w:tabs>
        <w:tab w:val="left" w:pos="709"/>
      </w:tabs>
    </w:pPr>
  </w:style>
  <w:style w:type="paragraph" w:customStyle="1" w:styleId="BuchTiteleinzeilig">
    <w:name w:val="Buch Titel § einzeilig"/>
    <w:basedOn w:val="BuchTitelIeinzeilig"/>
  </w:style>
  <w:style w:type="paragraph" w:styleId="Verzeichnis1">
    <w:name w:val="toc 1"/>
    <w:basedOn w:val="Standard"/>
    <w:next w:val="Standard"/>
    <w:autoRedefine/>
    <w:semiHidden/>
    <w:pPr>
      <w:tabs>
        <w:tab w:val="left" w:pos="1134"/>
        <w:tab w:val="right" w:pos="8618"/>
      </w:tabs>
      <w:spacing w:line="340" w:lineRule="atLeast"/>
      <w:jc w:val="both"/>
    </w:pPr>
    <w:rPr>
      <w:b/>
      <w:sz w:val="26"/>
      <w:lang w:val="de-CH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680"/>
        <w:tab w:val="left" w:pos="1134"/>
        <w:tab w:val="right" w:pos="8618"/>
      </w:tabs>
      <w:spacing w:line="340" w:lineRule="atLeast"/>
      <w:jc w:val="both"/>
    </w:pPr>
    <w:rPr>
      <w:b/>
      <w:sz w:val="26"/>
      <w:lang w:val="de-CH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680"/>
        <w:tab w:val="left" w:pos="1134"/>
        <w:tab w:val="right" w:pos="8618"/>
      </w:tabs>
      <w:spacing w:line="340" w:lineRule="atLeast"/>
      <w:ind w:left="680"/>
      <w:jc w:val="both"/>
    </w:pPr>
    <w:rPr>
      <w:sz w:val="26"/>
      <w:lang w:val="de-CH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531"/>
        <w:tab w:val="right" w:pos="8618"/>
      </w:tabs>
      <w:spacing w:line="340" w:lineRule="atLeast"/>
      <w:ind w:left="1134"/>
      <w:jc w:val="both"/>
    </w:pPr>
    <w:rPr>
      <w:sz w:val="26"/>
      <w:lang w:val="de-CH"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1985"/>
        <w:tab w:val="right" w:pos="8618"/>
      </w:tabs>
      <w:spacing w:line="340" w:lineRule="atLeast"/>
      <w:ind w:left="1531"/>
      <w:jc w:val="both"/>
    </w:pPr>
    <w:rPr>
      <w:sz w:val="26"/>
      <w:lang w:val="de-CH"/>
    </w:rPr>
  </w:style>
  <w:style w:type="paragraph" w:styleId="Verzeichnis6">
    <w:name w:val="toc 6"/>
    <w:basedOn w:val="Standard"/>
    <w:next w:val="Standard"/>
    <w:autoRedefine/>
    <w:semiHidden/>
    <w:pPr>
      <w:tabs>
        <w:tab w:val="left" w:pos="2381"/>
        <w:tab w:val="right" w:pos="8618"/>
      </w:tabs>
      <w:spacing w:line="340" w:lineRule="atLeast"/>
      <w:ind w:left="1985"/>
      <w:jc w:val="both"/>
    </w:pPr>
    <w:rPr>
      <w:sz w:val="26"/>
      <w:lang w:val="de-CH"/>
    </w:rPr>
  </w:style>
  <w:style w:type="paragraph" w:styleId="Verzeichnis7">
    <w:name w:val="toc 7"/>
    <w:basedOn w:val="Standard"/>
    <w:next w:val="Standard"/>
    <w:autoRedefine/>
    <w:semiHidden/>
    <w:pPr>
      <w:tabs>
        <w:tab w:val="left" w:pos="2835"/>
        <w:tab w:val="right" w:pos="8618"/>
      </w:tabs>
      <w:spacing w:line="340" w:lineRule="atLeast"/>
      <w:ind w:left="2381"/>
    </w:pPr>
    <w:rPr>
      <w:sz w:val="26"/>
      <w:lang w:val="de-CH"/>
    </w:rPr>
  </w:style>
  <w:style w:type="paragraph" w:styleId="Verzeichnis8">
    <w:name w:val="toc 8"/>
    <w:basedOn w:val="Standard"/>
    <w:next w:val="Standard"/>
    <w:autoRedefine/>
    <w:semiHidden/>
    <w:pPr>
      <w:tabs>
        <w:tab w:val="left" w:pos="3402"/>
        <w:tab w:val="right" w:pos="8618"/>
      </w:tabs>
      <w:spacing w:line="140" w:lineRule="atLeast"/>
    </w:pPr>
    <w:rPr>
      <w:sz w:val="22"/>
      <w:lang w:val="de-CH"/>
    </w:rPr>
  </w:style>
  <w:style w:type="paragraph" w:styleId="Verzeichnis9">
    <w:name w:val="toc 9"/>
    <w:basedOn w:val="Standard"/>
    <w:next w:val="Standard"/>
    <w:autoRedefine/>
    <w:semiHidden/>
    <w:pPr>
      <w:tabs>
        <w:tab w:val="left" w:pos="3969"/>
        <w:tab w:val="right" w:pos="8618"/>
      </w:tabs>
      <w:spacing w:line="340" w:lineRule="atLeast"/>
      <w:ind w:left="3402"/>
    </w:pPr>
    <w:rPr>
      <w:sz w:val="26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480" w:lineRule="auto"/>
      <w:jc w:val="both"/>
    </w:pPr>
    <w:rPr>
      <w:sz w:val="28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Textkrper">
    <w:name w:val="Body Text"/>
    <w:basedOn w:val="Standard"/>
    <w:pPr>
      <w:tabs>
        <w:tab w:val="left" w:pos="709"/>
      </w:tabs>
      <w:spacing w:before="240" w:after="120" w:line="480" w:lineRule="auto"/>
      <w:jc w:val="both"/>
    </w:pPr>
    <w:rPr>
      <w:b/>
      <w:sz w:val="36"/>
      <w:lang w:val="de-CH"/>
    </w:rPr>
  </w:style>
  <w:style w:type="paragraph" w:styleId="Titel">
    <w:name w:val="Title"/>
    <w:basedOn w:val="Standard"/>
    <w:qFormat/>
    <w:p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shd w:val="pct5" w:color="auto" w:fill="auto"/>
      <w:ind w:left="1247" w:right="1247"/>
      <w:jc w:val="center"/>
    </w:pPr>
    <w:rPr>
      <w:b/>
      <w:sz w:val="26"/>
    </w:rPr>
  </w:style>
  <w:style w:type="paragraph" w:styleId="Textkrper3">
    <w:name w:val="Body Text 3"/>
    <w:basedOn w:val="Standard"/>
    <w:pPr>
      <w:spacing w:before="240" w:line="288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77C0C-D8CB-481C-9B9E-EC202E99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Familienbesteuerung im Umbruch</vt:lpstr>
    </vt:vector>
  </TitlesOfParts>
  <Company>Kantonales Steueramt Zürich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Familienbesteuerung im Umbruch</dc:title>
  <dc:creator>anschmid</dc:creator>
  <cp:lastModifiedBy>David Nyffenegger</cp:lastModifiedBy>
  <cp:revision>6</cp:revision>
  <cp:lastPrinted>2021-12-14T12:45:00Z</cp:lastPrinted>
  <dcterms:created xsi:type="dcterms:W3CDTF">2021-12-14T12:38:00Z</dcterms:created>
  <dcterms:modified xsi:type="dcterms:W3CDTF">2021-12-21T13:31:00Z</dcterms:modified>
</cp:coreProperties>
</file>