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1E0" w:firstRow="1" w:lastRow="1" w:firstColumn="1" w:lastColumn="1" w:noHBand="0" w:noVBand="0"/>
      </w:tblPr>
      <w:tblGrid>
        <w:gridCol w:w="5726"/>
        <w:gridCol w:w="3288"/>
      </w:tblGrid>
      <w:tr w:rsidR="004713EE" w14:paraId="608BDC2B" w14:textId="77777777">
        <w:trPr>
          <w:trHeight w:hRule="exact" w:val="1418"/>
        </w:trPr>
        <w:tc>
          <w:tcPr>
            <w:tcW w:w="5727" w:type="dxa"/>
          </w:tcPr>
          <w:p w14:paraId="02B379A3" w14:textId="77777777" w:rsidR="004713EE" w:rsidRDefault="004713EE" w:rsidP="004713EE">
            <w:pPr>
              <w:pStyle w:val="Kopfzeile"/>
            </w:pPr>
            <w:bookmarkStart w:id="0" w:name="BkMod_000"/>
          </w:p>
        </w:tc>
        <w:tc>
          <w:tcPr>
            <w:tcW w:w="3289" w:type="dxa"/>
          </w:tcPr>
          <w:p w14:paraId="3A4E0B47" w14:textId="207B88FB" w:rsidR="004713EE" w:rsidRDefault="00576996" w:rsidP="004713EE">
            <w:pPr>
              <w:pStyle w:val="VorlageLaufnummer"/>
            </w:pPr>
            <w:r>
              <w:t xml:space="preserve">Vorlage Nr.  </w:t>
            </w:r>
          </w:p>
          <w:p w14:paraId="5F136AF3" w14:textId="172505A8" w:rsidR="00576996" w:rsidRDefault="00576996" w:rsidP="004713EE">
            <w:pPr>
              <w:pStyle w:val="VorlageLaufnummer"/>
            </w:pPr>
            <w:r>
              <w:t>Laufnummer xx</w:t>
            </w:r>
          </w:p>
          <w:p w14:paraId="0256CE22" w14:textId="572EA87F" w:rsidR="004770BE" w:rsidRDefault="004770BE" w:rsidP="004713EE">
            <w:pPr>
              <w:pStyle w:val="VorlageLaufnummer"/>
            </w:pPr>
          </w:p>
          <w:p w14:paraId="3402E82E" w14:textId="2B1824E0" w:rsidR="004770BE" w:rsidRDefault="004770BE" w:rsidP="004713EE">
            <w:pPr>
              <w:pStyle w:val="VorlageLaufnummer"/>
            </w:pPr>
            <w:r>
              <w:t>Beilage 1</w:t>
            </w:r>
          </w:p>
          <w:p w14:paraId="584B70FA" w14:textId="7EE79E3A" w:rsidR="0044419F" w:rsidRDefault="0044419F" w:rsidP="004713EE">
            <w:pPr>
              <w:pStyle w:val="VorlageLaufnummer"/>
            </w:pPr>
            <w:r>
              <w:t>öffentlich</w:t>
            </w:r>
          </w:p>
          <w:p w14:paraId="06FADA0D" w14:textId="77777777" w:rsidR="004713EE" w:rsidRDefault="00576996" w:rsidP="00576996">
            <w:pPr>
              <w:pStyle w:val="VorlageLaufnummer"/>
              <w:ind w:left="-11339"/>
            </w:pPr>
            <w:bookmarkStart w:id="1" w:name="BkmAmt"/>
            <w:r>
              <w:t xml:space="preserve">Laufnummer </w:t>
            </w:r>
            <w:bookmarkStart w:id="2" w:name="BkmLaufNR"/>
            <w:r>
              <w:fldChar w:fldCharType="begin"/>
            </w:r>
            <w:r>
              <w:instrText xml:space="preserve"> QUOTE "Nr." </w:instrText>
            </w:r>
            <w:r>
              <w:fldChar w:fldCharType="separate"/>
            </w:r>
            <w:r>
              <w:t>Nr.</w:t>
            </w:r>
            <w:r>
              <w:fldChar w:fldCharType="end"/>
            </w:r>
            <w:bookmarkEnd w:id="1"/>
            <w:r>
              <w:t> </w:t>
            </w:r>
            <w:bookmarkEnd w:id="2"/>
          </w:p>
        </w:tc>
      </w:tr>
    </w:tbl>
    <w:tbl>
      <w:tblPr>
        <w:tblW w:w="0" w:type="auto"/>
        <w:tblCellMar>
          <w:left w:w="0" w:type="dxa"/>
          <w:right w:w="0" w:type="dxa"/>
        </w:tblCellMar>
        <w:tblLook w:val="01E0" w:firstRow="1" w:lastRow="1" w:firstColumn="1" w:lastColumn="1" w:noHBand="0" w:noVBand="0"/>
      </w:tblPr>
      <w:tblGrid>
        <w:gridCol w:w="5726"/>
        <w:gridCol w:w="3288"/>
      </w:tblGrid>
      <w:tr w:rsidR="004713EE" w14:paraId="7DAEABA1" w14:textId="77777777" w:rsidTr="004713EE">
        <w:trPr>
          <w:trHeight w:hRule="exact" w:val="567"/>
        </w:trPr>
        <w:tc>
          <w:tcPr>
            <w:tcW w:w="5726" w:type="dxa"/>
            <w:shd w:val="clear" w:color="auto" w:fill="auto"/>
          </w:tcPr>
          <w:p w14:paraId="708A4758" w14:textId="77777777" w:rsidR="004713EE" w:rsidRDefault="00576996" w:rsidP="004713EE">
            <w:pPr>
              <w:pStyle w:val="VorlageDirektion"/>
            </w:pPr>
            <w:bookmarkStart w:id="3" w:name="BkMod_001"/>
            <w:bookmarkEnd w:id="0"/>
            <w:r>
              <w:t xml:space="preserve">Antrag der Direktion für Bildung und Kultur Nr.     vom  </w:t>
            </w:r>
          </w:p>
          <w:p w14:paraId="03DFE020" w14:textId="77777777" w:rsidR="004713EE" w:rsidRDefault="00576996" w:rsidP="004713EE">
            <w:pPr>
              <w:pStyle w:val="VorlageDirektion"/>
            </w:pPr>
            <w:r>
              <w:t xml:space="preserve">Sitzung vom </w:t>
            </w:r>
          </w:p>
        </w:tc>
        <w:tc>
          <w:tcPr>
            <w:tcW w:w="3288" w:type="dxa"/>
            <w:shd w:val="clear" w:color="auto" w:fill="auto"/>
          </w:tcPr>
          <w:p w14:paraId="314BFEA9" w14:textId="37B6510F" w:rsidR="004713EE" w:rsidRDefault="00576996" w:rsidP="004713EE">
            <w:pPr>
              <w:pStyle w:val="VorlageDirektionFett"/>
            </w:pPr>
            <w:r>
              <w:fldChar w:fldCharType="begin"/>
            </w:r>
            <w:r>
              <w:instrText xml:space="preserve"> QUOTE "A" </w:instrText>
            </w:r>
            <w:r>
              <w:fldChar w:fldCharType="separate"/>
            </w:r>
            <w:r>
              <w:t>A</w:t>
            </w:r>
            <w:r>
              <w:fldChar w:fldCharType="end"/>
            </w:r>
            <w:r>
              <w:t>-Geschäft</w:t>
            </w:r>
          </w:p>
          <w:p w14:paraId="551D26A0" w14:textId="5A5FA243" w:rsidR="006C003B" w:rsidRDefault="006C003B" w:rsidP="004713EE">
            <w:pPr>
              <w:pStyle w:val="VorlageDirektionFett"/>
            </w:pPr>
          </w:p>
          <w:p w14:paraId="21E0D1E3" w14:textId="62266100" w:rsidR="006C003B" w:rsidRDefault="006C003B" w:rsidP="004713EE">
            <w:pPr>
              <w:pStyle w:val="VorlageDirektionFett"/>
            </w:pPr>
          </w:p>
          <w:p w14:paraId="75643110" w14:textId="1FBB1A84" w:rsidR="006C003B" w:rsidRDefault="006C003B" w:rsidP="004713EE">
            <w:pPr>
              <w:pStyle w:val="VorlageDirektionFett"/>
            </w:pPr>
          </w:p>
          <w:p w14:paraId="67F4FC6A" w14:textId="3C844CC5" w:rsidR="006C003B" w:rsidRDefault="006C003B" w:rsidP="004713EE">
            <w:pPr>
              <w:pStyle w:val="VorlageDirektionFett"/>
            </w:pPr>
          </w:p>
          <w:p w14:paraId="3A81E860" w14:textId="77777777" w:rsidR="006C003B" w:rsidRDefault="006C003B" w:rsidP="004713EE">
            <w:pPr>
              <w:pStyle w:val="VorlageDirektionFett"/>
            </w:pPr>
          </w:p>
          <w:p w14:paraId="49F2C597" w14:textId="01931E95" w:rsidR="006C003B" w:rsidRDefault="006C003B" w:rsidP="004713EE">
            <w:pPr>
              <w:pStyle w:val="VorlageDirektionFett"/>
            </w:pPr>
          </w:p>
          <w:p w14:paraId="0408DCC0" w14:textId="63096214" w:rsidR="006C003B" w:rsidRDefault="006C003B" w:rsidP="004713EE">
            <w:pPr>
              <w:pStyle w:val="VorlageDirektionFett"/>
            </w:pPr>
          </w:p>
          <w:p w14:paraId="7A0484AB" w14:textId="77777777" w:rsidR="006C003B" w:rsidRDefault="006C003B" w:rsidP="004713EE">
            <w:pPr>
              <w:pStyle w:val="VorlageDirektionFett"/>
            </w:pPr>
          </w:p>
          <w:p w14:paraId="74BB6BFE" w14:textId="77777777" w:rsidR="006C003B" w:rsidRDefault="006C003B" w:rsidP="004713EE">
            <w:pPr>
              <w:pStyle w:val="VorlageDirektionFett"/>
            </w:pPr>
          </w:p>
          <w:p w14:paraId="3DA84697" w14:textId="77777777" w:rsidR="006C003B" w:rsidRDefault="006C003B" w:rsidP="004713EE">
            <w:pPr>
              <w:pStyle w:val="VorlageDirektionFett"/>
            </w:pPr>
          </w:p>
          <w:p w14:paraId="3EA5E77E" w14:textId="75FB1D84" w:rsidR="006C003B" w:rsidRDefault="006C003B" w:rsidP="004713EE">
            <w:pPr>
              <w:pStyle w:val="VorlageDirektionFett"/>
            </w:pPr>
          </w:p>
        </w:tc>
      </w:tr>
    </w:tbl>
    <w:p w14:paraId="206FE9C6" w14:textId="2AAEF923" w:rsidR="004713EE" w:rsidRPr="005D7616" w:rsidRDefault="006C003B" w:rsidP="001D2907">
      <w:pPr>
        <w:rPr>
          <w:sz w:val="16"/>
          <w:szCs w:val="16"/>
        </w:rPr>
      </w:pPr>
      <w:r>
        <w:tab/>
      </w:r>
      <w:r>
        <w:tab/>
      </w:r>
      <w:r>
        <w:tab/>
      </w:r>
      <w:r>
        <w:tab/>
      </w:r>
      <w:r>
        <w:tab/>
      </w:r>
      <w:r>
        <w:tab/>
      </w:r>
      <w:r>
        <w:tab/>
      </w:r>
      <w:r>
        <w:tab/>
      </w:r>
      <w:r w:rsidRPr="005D7616">
        <w:rPr>
          <w:b/>
          <w:sz w:val="16"/>
          <w:szCs w:val="16"/>
          <w:highlight w:val="yellow"/>
        </w:rPr>
        <w:t>Öffentlich</w:t>
      </w:r>
    </w:p>
    <w:p w14:paraId="1F1A993F" w14:textId="77777777" w:rsidR="006C003B" w:rsidRPr="007D06B7" w:rsidRDefault="006C003B" w:rsidP="004713EE"/>
    <w:p w14:paraId="00681831" w14:textId="77777777" w:rsidR="007D06B7" w:rsidRDefault="007D06B7" w:rsidP="004713EE"/>
    <w:p w14:paraId="3474B950" w14:textId="77777777" w:rsidR="007D06B7" w:rsidRPr="00B72AB7" w:rsidRDefault="007D06B7" w:rsidP="007D06B7">
      <w:pPr>
        <w:pStyle w:val="Betreff"/>
        <w:rPr>
          <w:rFonts w:cs="Arial"/>
        </w:rPr>
      </w:pPr>
      <w:bookmarkStart w:id="4" w:name="BkMod_002"/>
      <w:bookmarkEnd w:id="3"/>
      <w:r>
        <w:rPr>
          <w:rFonts w:cs="Arial"/>
        </w:rPr>
        <w:t xml:space="preserve">Änderung des Gesetzes </w:t>
      </w:r>
      <w:r w:rsidRPr="00B72AB7">
        <w:rPr>
          <w:rFonts w:cs="Arial"/>
        </w:rPr>
        <w:t xml:space="preserve">über die </w:t>
      </w:r>
      <w:r>
        <w:rPr>
          <w:rFonts w:cs="Arial"/>
        </w:rPr>
        <w:t>P</w:t>
      </w:r>
      <w:r w:rsidRPr="00B72AB7">
        <w:rPr>
          <w:rFonts w:cs="Arial"/>
        </w:rPr>
        <w:t xml:space="preserve">ädagogische </w:t>
      </w:r>
      <w:smartTag w:uri="urn:schemas-microsoft-com:office:smarttags" w:element="PersonName">
        <w:r w:rsidRPr="00B72AB7">
          <w:rPr>
            <w:rFonts w:cs="Arial"/>
          </w:rPr>
          <w:t>Hochschule</w:t>
        </w:r>
      </w:smartTag>
      <w:r w:rsidRPr="00B72AB7">
        <w:rPr>
          <w:rFonts w:cs="Arial"/>
        </w:rPr>
        <w:t xml:space="preserve"> Zug</w:t>
      </w:r>
    </w:p>
    <w:p w14:paraId="7CF5FDAA" w14:textId="77777777" w:rsidR="004713EE" w:rsidRDefault="004713EE" w:rsidP="004713EE"/>
    <w:p w14:paraId="0411558D" w14:textId="77777777" w:rsidR="004713EE" w:rsidRDefault="00576996" w:rsidP="004713EE">
      <w:bookmarkStart w:id="5" w:name="BkMod_003"/>
      <w:bookmarkEnd w:id="4"/>
      <w:r>
        <w:t>Bericht und Antrag des Regierungsrats</w:t>
      </w:r>
    </w:p>
    <w:p w14:paraId="280BC031" w14:textId="77777777" w:rsidR="004713EE" w:rsidRDefault="00576996" w:rsidP="004713EE">
      <w:r>
        <w:t xml:space="preserve">vom </w:t>
      </w:r>
      <w:r>
        <w:fldChar w:fldCharType="begin"/>
      </w:r>
      <w:r>
        <w:instrText xml:space="preserve"> QUOTE "Datum" </w:instrText>
      </w:r>
      <w:r>
        <w:fldChar w:fldCharType="separate"/>
      </w:r>
      <w:r>
        <w:t>Datum</w:t>
      </w:r>
      <w:r>
        <w:fldChar w:fldCharType="end"/>
      </w:r>
    </w:p>
    <w:p w14:paraId="65D8D397" w14:textId="77777777" w:rsidR="004713EE" w:rsidRDefault="004713EE" w:rsidP="004713EE"/>
    <w:p w14:paraId="4A3A461C" w14:textId="2BBDFF78" w:rsidR="004713EE" w:rsidRDefault="00576996" w:rsidP="004713EE">
      <w:pPr>
        <w:pStyle w:val="StandardNo"/>
      </w:pPr>
      <w:bookmarkStart w:id="6" w:name="BkMod_004"/>
      <w:bookmarkEnd w:id="5"/>
      <w:r>
        <w:t>Sehr geehrte</w:t>
      </w:r>
      <w:r w:rsidR="001D757C">
        <w:t>r</w:t>
      </w:r>
      <w:r>
        <w:t xml:space="preserve"> </w:t>
      </w:r>
      <w:r w:rsidR="001D757C">
        <w:t>Herr</w:t>
      </w:r>
      <w:r>
        <w:t xml:space="preserve"> Präsident</w:t>
      </w:r>
    </w:p>
    <w:p w14:paraId="38A07C7C" w14:textId="77777777" w:rsidR="004713EE" w:rsidRDefault="00576996" w:rsidP="004713EE">
      <w:pPr>
        <w:pStyle w:val="StandardNo"/>
      </w:pPr>
      <w:r>
        <w:t>Sehr geehrte Damen und Herren</w:t>
      </w:r>
    </w:p>
    <w:p w14:paraId="7FD4727E" w14:textId="77777777" w:rsidR="004713EE" w:rsidRDefault="004713EE" w:rsidP="004713EE">
      <w:bookmarkStart w:id="7" w:name="BkMod_006"/>
      <w:bookmarkEnd w:id="6"/>
    </w:p>
    <w:p w14:paraId="143936A0" w14:textId="29311D46" w:rsidR="007D06B7" w:rsidRPr="00B72AB7" w:rsidRDefault="007D06B7" w:rsidP="006C27A0">
      <w:pPr>
        <w:autoSpaceDE w:val="0"/>
        <w:autoSpaceDN w:val="0"/>
        <w:adjustRightInd w:val="0"/>
        <w:spacing w:after="120"/>
        <w:outlineLvl w:val="0"/>
        <w:rPr>
          <w:rFonts w:cs="Arial"/>
          <w:bCs/>
        </w:rPr>
      </w:pPr>
      <w:r w:rsidRPr="00B72AB7">
        <w:rPr>
          <w:rFonts w:cs="Arial"/>
          <w:bCs/>
        </w:rPr>
        <w:t xml:space="preserve">Wir unterbreiten Ihnen den Bericht und Antrag zu </w:t>
      </w:r>
      <w:r>
        <w:rPr>
          <w:rFonts w:cs="Arial"/>
          <w:bCs/>
        </w:rPr>
        <w:t>einer Änderung des</w:t>
      </w:r>
      <w:r w:rsidRPr="00B72AB7">
        <w:rPr>
          <w:rFonts w:cs="Arial"/>
          <w:bCs/>
        </w:rPr>
        <w:t xml:space="preserve"> Gesetz</w:t>
      </w:r>
      <w:r>
        <w:rPr>
          <w:rFonts w:cs="Arial"/>
          <w:bCs/>
        </w:rPr>
        <w:t>es</w:t>
      </w:r>
      <w:r w:rsidRPr="00B72AB7">
        <w:rPr>
          <w:rFonts w:cs="Arial"/>
          <w:bCs/>
        </w:rPr>
        <w:t xml:space="preserve"> über die </w:t>
      </w:r>
      <w:r w:rsidR="00F53C56">
        <w:rPr>
          <w:rFonts w:cs="Arial"/>
          <w:bCs/>
        </w:rPr>
        <w:t>P</w:t>
      </w:r>
      <w:r w:rsidRPr="00B72AB7">
        <w:rPr>
          <w:rFonts w:cs="Arial"/>
          <w:bCs/>
        </w:rPr>
        <w:t xml:space="preserve">ädagogische Hochschule Zug. </w:t>
      </w:r>
    </w:p>
    <w:p w14:paraId="71F14C7F" w14:textId="77777777" w:rsidR="007D06B7" w:rsidRPr="00B72AB7" w:rsidRDefault="007D06B7" w:rsidP="006C27A0">
      <w:pPr>
        <w:autoSpaceDE w:val="0"/>
        <w:autoSpaceDN w:val="0"/>
        <w:adjustRightInd w:val="0"/>
        <w:spacing w:after="120"/>
        <w:outlineLvl w:val="0"/>
        <w:rPr>
          <w:rFonts w:cs="Arial"/>
          <w:bCs/>
        </w:rPr>
      </w:pPr>
      <w:r w:rsidRPr="00B72AB7">
        <w:rPr>
          <w:rFonts w:cs="Arial"/>
          <w:bCs/>
        </w:rPr>
        <w:t>Der Bericht ist wie folgt gegliedert:</w:t>
      </w:r>
    </w:p>
    <w:p w14:paraId="5110A311" w14:textId="77777777" w:rsidR="007D06B7" w:rsidRPr="00B72AB7" w:rsidRDefault="007D06B7" w:rsidP="007D06B7">
      <w:pPr>
        <w:rPr>
          <w:rFonts w:cs="Arial"/>
        </w:rPr>
      </w:pPr>
      <w:r w:rsidRPr="00B72AB7">
        <w:rPr>
          <w:rFonts w:cs="Arial"/>
        </w:rPr>
        <w:t>1. In Kürze</w:t>
      </w:r>
    </w:p>
    <w:p w14:paraId="064C91A1" w14:textId="77777777" w:rsidR="007D06B7" w:rsidRPr="00B72AB7" w:rsidRDefault="007D06B7" w:rsidP="007D06B7">
      <w:pPr>
        <w:rPr>
          <w:rFonts w:cs="Arial"/>
        </w:rPr>
      </w:pPr>
      <w:r w:rsidRPr="00B72AB7">
        <w:rPr>
          <w:rFonts w:cs="Arial"/>
        </w:rPr>
        <w:t>2. Ausgangslage</w:t>
      </w:r>
    </w:p>
    <w:p w14:paraId="427B87C8" w14:textId="77777777" w:rsidR="007D06B7" w:rsidRDefault="007D06B7" w:rsidP="007D06B7">
      <w:pPr>
        <w:rPr>
          <w:rFonts w:cs="Arial"/>
        </w:rPr>
      </w:pPr>
      <w:r w:rsidRPr="00B72AB7">
        <w:rPr>
          <w:rFonts w:cs="Arial"/>
        </w:rPr>
        <w:t xml:space="preserve">3. </w:t>
      </w:r>
      <w:r>
        <w:rPr>
          <w:rFonts w:cs="Arial"/>
        </w:rPr>
        <w:t>Grundsätzliches – die wichtigsten Änderungen</w:t>
      </w:r>
    </w:p>
    <w:p w14:paraId="1814E9A3" w14:textId="77777777" w:rsidR="007D06B7" w:rsidRPr="00B72AB7" w:rsidRDefault="007D06B7" w:rsidP="007D06B7">
      <w:pPr>
        <w:rPr>
          <w:rFonts w:cs="Arial"/>
        </w:rPr>
      </w:pPr>
      <w:r>
        <w:rPr>
          <w:rFonts w:cs="Arial"/>
        </w:rPr>
        <w:t>4</w:t>
      </w:r>
      <w:r w:rsidRPr="00B72AB7">
        <w:rPr>
          <w:rFonts w:cs="Arial"/>
        </w:rPr>
        <w:t>. Ergebnisse des Vernehmlassungsverfahrens</w:t>
      </w:r>
    </w:p>
    <w:p w14:paraId="7553CDDB" w14:textId="508D8DB3" w:rsidR="007D06B7" w:rsidRDefault="007D06B7" w:rsidP="007D06B7">
      <w:pPr>
        <w:rPr>
          <w:rFonts w:cs="Arial"/>
        </w:rPr>
      </w:pPr>
      <w:r>
        <w:rPr>
          <w:rFonts w:cs="Arial"/>
        </w:rPr>
        <w:t>5</w:t>
      </w:r>
      <w:r w:rsidRPr="00B72AB7">
        <w:rPr>
          <w:rFonts w:cs="Arial"/>
        </w:rPr>
        <w:t xml:space="preserve">. Erläuterungen zu </w:t>
      </w:r>
      <w:r>
        <w:rPr>
          <w:rFonts w:cs="Arial"/>
        </w:rPr>
        <w:t xml:space="preserve">den </w:t>
      </w:r>
      <w:r w:rsidRPr="00B72AB7">
        <w:rPr>
          <w:rFonts w:cs="Arial"/>
        </w:rPr>
        <w:t>einzelnen Bestimmunge</w:t>
      </w:r>
      <w:r>
        <w:rPr>
          <w:rFonts w:cs="Arial"/>
        </w:rPr>
        <w:t>n</w:t>
      </w:r>
    </w:p>
    <w:p w14:paraId="6181F4B3" w14:textId="2138744C" w:rsidR="00E76318" w:rsidRDefault="00E76318" w:rsidP="007D06B7">
      <w:pPr>
        <w:rPr>
          <w:rFonts w:cs="Arial"/>
        </w:rPr>
      </w:pPr>
      <w:r>
        <w:rPr>
          <w:rFonts w:cs="Arial"/>
        </w:rPr>
        <w:t>6. Inkrafttreten</w:t>
      </w:r>
    </w:p>
    <w:p w14:paraId="2B0D3AE1" w14:textId="2B8B3D1B" w:rsidR="007D06B7" w:rsidRDefault="00E76318" w:rsidP="007D06B7">
      <w:pPr>
        <w:rPr>
          <w:rFonts w:cs="Arial"/>
        </w:rPr>
      </w:pPr>
      <w:r>
        <w:rPr>
          <w:rFonts w:cs="Arial"/>
        </w:rPr>
        <w:t>7</w:t>
      </w:r>
      <w:r w:rsidR="007D06B7">
        <w:rPr>
          <w:rFonts w:cs="Arial"/>
        </w:rPr>
        <w:t>. Fremdänderung</w:t>
      </w:r>
    </w:p>
    <w:p w14:paraId="35988801" w14:textId="71580B56" w:rsidR="007D06B7" w:rsidRPr="00B72AB7" w:rsidRDefault="00E76318" w:rsidP="007D06B7">
      <w:pPr>
        <w:rPr>
          <w:rFonts w:cs="Arial"/>
        </w:rPr>
      </w:pPr>
      <w:r>
        <w:rPr>
          <w:rFonts w:cs="Arial"/>
        </w:rPr>
        <w:t>8</w:t>
      </w:r>
      <w:r w:rsidR="007D06B7">
        <w:rPr>
          <w:rFonts w:cs="Arial"/>
        </w:rPr>
        <w:t>. Finanzielle Auswirkungen und Anpassungen von Leistungsaufträgen</w:t>
      </w:r>
      <w:r w:rsidR="007D06B7">
        <w:rPr>
          <w:rFonts w:cs="Arial"/>
        </w:rPr>
        <w:br/>
      </w:r>
      <w:r>
        <w:rPr>
          <w:rFonts w:cs="Arial"/>
        </w:rPr>
        <w:t>9</w:t>
      </w:r>
      <w:r w:rsidR="007D06B7" w:rsidRPr="00B72AB7">
        <w:rPr>
          <w:rFonts w:cs="Arial"/>
        </w:rPr>
        <w:t xml:space="preserve">. </w:t>
      </w:r>
      <w:r w:rsidR="007D06B7">
        <w:rPr>
          <w:rFonts w:cs="Arial"/>
        </w:rPr>
        <w:t>Zeit</w:t>
      </w:r>
      <w:r w:rsidR="007D06B7" w:rsidRPr="00B72AB7">
        <w:rPr>
          <w:rFonts w:cs="Arial"/>
        </w:rPr>
        <w:t>plan</w:t>
      </w:r>
    </w:p>
    <w:p w14:paraId="37A66608" w14:textId="59B7DA0D" w:rsidR="007D06B7" w:rsidRPr="00B72AB7" w:rsidRDefault="00E76318" w:rsidP="007D06B7">
      <w:pPr>
        <w:rPr>
          <w:rFonts w:cs="Arial"/>
        </w:rPr>
      </w:pPr>
      <w:r>
        <w:rPr>
          <w:rFonts w:cs="Arial"/>
        </w:rPr>
        <w:t>10</w:t>
      </w:r>
      <w:r w:rsidR="007D06B7" w:rsidRPr="00B72AB7">
        <w:rPr>
          <w:rFonts w:cs="Arial"/>
        </w:rPr>
        <w:t>. Antrag</w:t>
      </w:r>
    </w:p>
    <w:p w14:paraId="05A50851" w14:textId="77777777" w:rsidR="007D06B7" w:rsidRDefault="007D06B7" w:rsidP="007D06B7">
      <w:pPr>
        <w:rPr>
          <w:rFonts w:cs="Arial"/>
        </w:rPr>
      </w:pPr>
    </w:p>
    <w:p w14:paraId="273CC2E0" w14:textId="77777777" w:rsidR="006C27A0" w:rsidRPr="00B72AB7" w:rsidRDefault="006C27A0" w:rsidP="007D06B7">
      <w:pPr>
        <w:rPr>
          <w:rFonts w:cs="Arial"/>
        </w:rPr>
      </w:pPr>
    </w:p>
    <w:p w14:paraId="610CCEBC" w14:textId="77777777" w:rsidR="007D06B7" w:rsidRPr="00B72AB7" w:rsidRDefault="007D06B7" w:rsidP="00682F17">
      <w:pPr>
        <w:autoSpaceDE w:val="0"/>
        <w:autoSpaceDN w:val="0"/>
        <w:adjustRightInd w:val="0"/>
        <w:ind w:left="567" w:hanging="567"/>
        <w:outlineLvl w:val="0"/>
        <w:rPr>
          <w:rFonts w:cs="Arial"/>
          <w:b/>
          <w:bCs/>
        </w:rPr>
      </w:pPr>
      <w:r w:rsidRPr="00B72AB7">
        <w:rPr>
          <w:rFonts w:cs="Arial"/>
          <w:b/>
          <w:bCs/>
        </w:rPr>
        <w:t xml:space="preserve">1. </w:t>
      </w:r>
      <w:r w:rsidR="00682F17">
        <w:rPr>
          <w:rFonts w:cs="Arial"/>
          <w:b/>
          <w:bCs/>
        </w:rPr>
        <w:tab/>
      </w:r>
      <w:r w:rsidRPr="00B72AB7">
        <w:rPr>
          <w:rFonts w:cs="Arial"/>
          <w:b/>
          <w:bCs/>
        </w:rPr>
        <w:t>In Kürze</w:t>
      </w:r>
    </w:p>
    <w:p w14:paraId="4363E773" w14:textId="77777777" w:rsidR="007D06B7" w:rsidRDefault="007D06B7" w:rsidP="007D06B7">
      <w:pPr>
        <w:pStyle w:val="Betreff"/>
        <w:rPr>
          <w:rFonts w:cs="Arial"/>
          <w:b w:val="0"/>
        </w:rPr>
      </w:pPr>
    </w:p>
    <w:p w14:paraId="7167B0D7" w14:textId="7138063A" w:rsidR="007D06B7" w:rsidRPr="00F641A0" w:rsidRDefault="007D06B7" w:rsidP="006C27A0">
      <w:pPr>
        <w:pStyle w:val="Betreff"/>
        <w:spacing w:after="120"/>
        <w:rPr>
          <w:rFonts w:cs="Arial"/>
          <w:highlight w:val="yellow"/>
        </w:rPr>
      </w:pPr>
      <w:r>
        <w:rPr>
          <w:rFonts w:cs="Arial"/>
        </w:rPr>
        <w:t xml:space="preserve">Aufgrund des Projekts «Anstellungsbedingungen» sind auch die Rechtsgrundlagen der Pädagogischen Hochschule Zug (PH Zug) anzupassen. </w:t>
      </w:r>
      <w:r>
        <w:t>Abweichungen vom kantonalen Personalrecht sind und bleiben notwendig, um</w:t>
      </w:r>
      <w:r w:rsidRPr="00DD2A91">
        <w:t xml:space="preserve"> den hochschulspezifischen Verhältnissen Rechnung zu tragen</w:t>
      </w:r>
      <w:r>
        <w:t>. Unter anderem auch aus diesem Grund hat</w:t>
      </w:r>
      <w:r>
        <w:rPr>
          <w:rFonts w:cs="Arial"/>
        </w:rPr>
        <w:t xml:space="preserve"> der Regierungsrat </w:t>
      </w:r>
      <w:r w:rsidRPr="007E605B">
        <w:rPr>
          <w:rFonts w:cs="Arial"/>
        </w:rPr>
        <w:t xml:space="preserve">beschlossen, </w:t>
      </w:r>
      <w:r>
        <w:rPr>
          <w:rFonts w:cs="Arial"/>
        </w:rPr>
        <w:t xml:space="preserve">die notwendigen Anpassungen für die PH Zug in </w:t>
      </w:r>
      <w:r w:rsidRPr="007E605B">
        <w:rPr>
          <w:rFonts w:cs="Arial"/>
        </w:rPr>
        <w:t>ein</w:t>
      </w:r>
      <w:r>
        <w:rPr>
          <w:rFonts w:cs="Arial"/>
        </w:rPr>
        <w:t>em</w:t>
      </w:r>
      <w:r w:rsidRPr="007E605B">
        <w:rPr>
          <w:rFonts w:cs="Arial"/>
        </w:rPr>
        <w:t xml:space="preserve"> </w:t>
      </w:r>
      <w:r>
        <w:rPr>
          <w:rFonts w:cs="Arial"/>
        </w:rPr>
        <w:t>eigenen</w:t>
      </w:r>
      <w:r w:rsidRPr="007E605B">
        <w:rPr>
          <w:rFonts w:cs="Arial"/>
        </w:rPr>
        <w:t xml:space="preserve"> </w:t>
      </w:r>
      <w:r>
        <w:rPr>
          <w:rFonts w:cs="Arial"/>
        </w:rPr>
        <w:t>Revisionsp</w:t>
      </w:r>
      <w:r w:rsidRPr="007E605B">
        <w:rPr>
          <w:rFonts w:cs="Arial"/>
        </w:rPr>
        <w:t>rojekt</w:t>
      </w:r>
      <w:r>
        <w:rPr>
          <w:rFonts w:cs="Arial"/>
        </w:rPr>
        <w:t xml:space="preserve"> vorzunehmen. </w:t>
      </w:r>
    </w:p>
    <w:p w14:paraId="31F82EE7" w14:textId="7D350FA4" w:rsidR="007D06B7" w:rsidRPr="00642D18" w:rsidRDefault="007D06B7" w:rsidP="007D06B7">
      <w:pPr>
        <w:rPr>
          <w:rFonts w:cs="Arial"/>
        </w:rPr>
      </w:pPr>
      <w:r>
        <w:rPr>
          <w:rFonts w:cs="Arial"/>
        </w:rPr>
        <w:t xml:space="preserve">Mit dem kantonalen Projekt «Anstellungsbedingungen», welches </w:t>
      </w:r>
      <w:r w:rsidRPr="00673A47">
        <w:rPr>
          <w:rFonts w:cs="Arial"/>
        </w:rPr>
        <w:t xml:space="preserve">eine neue Lohnsystematik und die Abschaffung der Treue- und Erfahrungszulage (TREZ) </w:t>
      </w:r>
      <w:r w:rsidRPr="00673A47">
        <w:t xml:space="preserve">respektive Einbindung derselben </w:t>
      </w:r>
      <w:r w:rsidRPr="00F641A0">
        <w:rPr>
          <w:bCs/>
          <w:spacing w:val="5"/>
          <w:szCs w:val="28"/>
        </w:rPr>
        <w:t>in das Lohnsystem (</w:t>
      </w:r>
      <w:r w:rsidRPr="003F7BA6">
        <w:t>Besitzstand</w:t>
      </w:r>
      <w:r>
        <w:t>swahrung</w:t>
      </w:r>
      <w:r w:rsidRPr="00673A47">
        <w:t xml:space="preserve">) </w:t>
      </w:r>
      <w:r w:rsidRPr="00673A47">
        <w:rPr>
          <w:rFonts w:cs="Arial"/>
        </w:rPr>
        <w:t>vorsieht, ist eine grundlegende</w:t>
      </w:r>
      <w:r>
        <w:rPr>
          <w:rFonts w:cs="Arial"/>
        </w:rPr>
        <w:t xml:space="preserve"> Überarbeitung des kantonalen Personalrechts verbunden. Von den Veränderungen der Anstellungsbedingungen sind die Mitarbeitenden der PH Zug mitbetroffen. Die zwingend </w:t>
      </w:r>
      <w:r w:rsidRPr="00B61E34">
        <w:rPr>
          <w:rFonts w:cs="Arial"/>
        </w:rPr>
        <w:t>vorzunehmende</w:t>
      </w:r>
      <w:r>
        <w:rPr>
          <w:rFonts w:cs="Arial"/>
        </w:rPr>
        <w:t>n personalrechtlichen Bestimmungen bieten die</w:t>
      </w:r>
      <w:r w:rsidRPr="00B61E34">
        <w:rPr>
          <w:rFonts w:cs="Arial"/>
        </w:rPr>
        <w:t xml:space="preserve"> Gelegenheit, </w:t>
      </w:r>
      <w:r w:rsidR="00EF78E3">
        <w:rPr>
          <w:rFonts w:cs="Arial"/>
        </w:rPr>
        <w:t>weitere</w:t>
      </w:r>
      <w:r w:rsidRPr="00B61E34">
        <w:rPr>
          <w:rFonts w:cs="Arial"/>
        </w:rPr>
        <w:t xml:space="preserve"> fällige Anpassungen vorzunehmen, </w:t>
      </w:r>
      <w:r>
        <w:rPr>
          <w:rFonts w:cs="Arial"/>
        </w:rPr>
        <w:t>auch wenn sie</w:t>
      </w:r>
      <w:r w:rsidRPr="00B61E34">
        <w:rPr>
          <w:rFonts w:cs="Arial"/>
        </w:rPr>
        <w:t xml:space="preserve"> in keinem Zusammenhang mit dem </w:t>
      </w:r>
      <w:r>
        <w:rPr>
          <w:rFonts w:cs="Arial"/>
        </w:rPr>
        <w:t xml:space="preserve">genannten </w:t>
      </w:r>
      <w:r w:rsidRPr="00B61E34">
        <w:rPr>
          <w:rFonts w:cs="Arial"/>
        </w:rPr>
        <w:t>Projekt stehen.</w:t>
      </w:r>
    </w:p>
    <w:p w14:paraId="2FF6974D" w14:textId="03CDEAC2" w:rsidR="00BD638C" w:rsidRDefault="00BD638C" w:rsidP="007D06B7">
      <w:pPr>
        <w:rPr>
          <w:rFonts w:cs="Arial"/>
          <w:bCs/>
        </w:rPr>
      </w:pPr>
      <w:bookmarkStart w:id="8" w:name="_Toc298752109"/>
    </w:p>
    <w:p w14:paraId="0DB3D48B" w14:textId="77777777" w:rsidR="00BD638C" w:rsidRPr="00B72AB7" w:rsidRDefault="00BD638C" w:rsidP="007D06B7">
      <w:pPr>
        <w:rPr>
          <w:rFonts w:cs="Arial"/>
          <w:bCs/>
        </w:rPr>
      </w:pPr>
    </w:p>
    <w:p w14:paraId="2D22B8E1" w14:textId="0BD00718" w:rsidR="007D06B7" w:rsidRDefault="007D06B7" w:rsidP="00682F17">
      <w:pPr>
        <w:autoSpaceDE w:val="0"/>
        <w:autoSpaceDN w:val="0"/>
        <w:adjustRightInd w:val="0"/>
        <w:ind w:left="567" w:hanging="567"/>
        <w:outlineLvl w:val="0"/>
        <w:rPr>
          <w:rFonts w:cs="Arial"/>
          <w:b/>
          <w:bCs/>
        </w:rPr>
      </w:pPr>
      <w:bookmarkStart w:id="9" w:name="_Toc298765695"/>
      <w:r w:rsidRPr="00B72AB7">
        <w:rPr>
          <w:rFonts w:cs="Arial"/>
          <w:b/>
          <w:bCs/>
        </w:rPr>
        <w:t xml:space="preserve">2. </w:t>
      </w:r>
      <w:r w:rsidR="009C2EBC">
        <w:rPr>
          <w:rFonts w:cs="Arial"/>
          <w:b/>
          <w:bCs/>
        </w:rPr>
        <w:tab/>
      </w:r>
      <w:r w:rsidRPr="00B72AB7">
        <w:rPr>
          <w:rFonts w:cs="Arial"/>
          <w:b/>
          <w:bCs/>
        </w:rPr>
        <w:t>Ausgangslage</w:t>
      </w:r>
      <w:bookmarkEnd w:id="8"/>
      <w:bookmarkEnd w:id="9"/>
    </w:p>
    <w:p w14:paraId="3C2D2147" w14:textId="77777777" w:rsidR="006C27A0" w:rsidRPr="00E75649" w:rsidRDefault="006C27A0" w:rsidP="007D06B7">
      <w:pPr>
        <w:autoSpaceDE w:val="0"/>
        <w:autoSpaceDN w:val="0"/>
        <w:adjustRightInd w:val="0"/>
        <w:outlineLvl w:val="1"/>
        <w:rPr>
          <w:rFonts w:cs="Arial"/>
          <w:bCs/>
        </w:rPr>
      </w:pPr>
    </w:p>
    <w:p w14:paraId="1EB40E47" w14:textId="52E2F67A" w:rsidR="007D06B7" w:rsidRDefault="007D06B7" w:rsidP="0049369F">
      <w:pPr>
        <w:spacing w:after="120" w:line="280" w:lineRule="exact"/>
        <w:rPr>
          <w:rFonts w:cs="Arial"/>
        </w:rPr>
      </w:pPr>
      <w:bookmarkStart w:id="10" w:name="_Toc298752115"/>
      <w:bookmarkStart w:id="11" w:name="_Toc298765701"/>
      <w:r>
        <w:rPr>
          <w:rFonts w:cs="Arial"/>
        </w:rPr>
        <w:t xml:space="preserve">Für die Mitarbeitenden der </w:t>
      </w:r>
      <w:r w:rsidR="00846689">
        <w:rPr>
          <w:rFonts w:cs="Arial"/>
        </w:rPr>
        <w:t>PH Zug</w:t>
      </w:r>
      <w:r>
        <w:rPr>
          <w:rFonts w:cs="Arial"/>
        </w:rPr>
        <w:t xml:space="preserve"> sind grundsätzlich die Bestimmungen des kantonalen Personalrechts massgebend. Vom kantonalen Personalrecht abweichende Bestimmungen sind im</w:t>
      </w:r>
      <w:r w:rsidRPr="001F4D3A">
        <w:t xml:space="preserve"> </w:t>
      </w:r>
      <w:r w:rsidRPr="001F4D3A">
        <w:rPr>
          <w:rFonts w:cs="Arial"/>
        </w:rPr>
        <w:lastRenderedPageBreak/>
        <w:t>Gesetz über die Pädagogische Hochschule Zug</w:t>
      </w:r>
      <w:r>
        <w:rPr>
          <w:rFonts w:cs="Arial"/>
        </w:rPr>
        <w:t xml:space="preserve"> vom 28. Februar 2013 (</w:t>
      </w:r>
      <w:r w:rsidR="0031040F">
        <w:rPr>
          <w:rFonts w:cs="Arial"/>
        </w:rPr>
        <w:t xml:space="preserve">PH-Gesetz; </w:t>
      </w:r>
      <w:r w:rsidRPr="003E66DD">
        <w:rPr>
          <w:rFonts w:cs="Arial"/>
        </w:rPr>
        <w:t xml:space="preserve">BGS </w:t>
      </w:r>
      <w:r w:rsidRPr="000B0879">
        <w:rPr>
          <w:rFonts w:cs="Arial"/>
        </w:rPr>
        <w:t>414.41</w:t>
      </w:r>
      <w:r>
        <w:rPr>
          <w:rFonts w:cs="Arial"/>
        </w:rPr>
        <w:t xml:space="preserve">) respektive in der </w:t>
      </w:r>
      <w:r w:rsidRPr="001F4D3A">
        <w:rPr>
          <w:rFonts w:cs="Arial"/>
        </w:rPr>
        <w:t>Verordnung zum</w:t>
      </w:r>
      <w:r>
        <w:rPr>
          <w:rFonts w:cs="Arial"/>
        </w:rPr>
        <w:t xml:space="preserve"> </w:t>
      </w:r>
      <w:r w:rsidRPr="001F4D3A">
        <w:rPr>
          <w:rFonts w:cs="Arial"/>
        </w:rPr>
        <w:t>Gesetz</w:t>
      </w:r>
      <w:r>
        <w:rPr>
          <w:rFonts w:cs="Arial"/>
        </w:rPr>
        <w:t xml:space="preserve"> </w:t>
      </w:r>
      <w:r w:rsidRPr="001F4D3A">
        <w:rPr>
          <w:rFonts w:cs="Arial"/>
        </w:rPr>
        <w:t>über</w:t>
      </w:r>
      <w:r>
        <w:rPr>
          <w:rFonts w:cs="Arial"/>
        </w:rPr>
        <w:t xml:space="preserve"> </w:t>
      </w:r>
      <w:r w:rsidRPr="001F4D3A">
        <w:rPr>
          <w:rFonts w:cs="Arial"/>
        </w:rPr>
        <w:t>die</w:t>
      </w:r>
      <w:r>
        <w:rPr>
          <w:rFonts w:cs="Arial"/>
        </w:rPr>
        <w:t xml:space="preserve"> </w:t>
      </w:r>
      <w:r w:rsidRPr="001F4D3A">
        <w:rPr>
          <w:rFonts w:cs="Arial"/>
        </w:rPr>
        <w:t>Pädagogische</w:t>
      </w:r>
      <w:r>
        <w:rPr>
          <w:rFonts w:cs="Arial"/>
        </w:rPr>
        <w:t xml:space="preserve"> </w:t>
      </w:r>
      <w:r w:rsidRPr="001F4D3A">
        <w:rPr>
          <w:rFonts w:cs="Arial"/>
        </w:rPr>
        <w:t>Hochschule</w:t>
      </w:r>
      <w:r>
        <w:rPr>
          <w:rFonts w:cs="Arial"/>
        </w:rPr>
        <w:t xml:space="preserve"> </w:t>
      </w:r>
      <w:r w:rsidRPr="001F4D3A">
        <w:rPr>
          <w:rFonts w:cs="Arial"/>
        </w:rPr>
        <w:t>Zug</w:t>
      </w:r>
      <w:r>
        <w:rPr>
          <w:rFonts w:cs="Arial"/>
        </w:rPr>
        <w:t xml:space="preserve"> vom 9. Juli 2013</w:t>
      </w:r>
      <w:r w:rsidRPr="001F4D3A">
        <w:rPr>
          <w:rFonts w:cs="Arial"/>
        </w:rPr>
        <w:t xml:space="preserve"> </w:t>
      </w:r>
      <w:r>
        <w:rPr>
          <w:rFonts w:cs="Arial"/>
        </w:rPr>
        <w:t>(</w:t>
      </w:r>
      <w:r w:rsidR="00B909F6">
        <w:rPr>
          <w:rFonts w:cs="Arial"/>
        </w:rPr>
        <w:t xml:space="preserve">PH-Verordnung; </w:t>
      </w:r>
      <w:r>
        <w:rPr>
          <w:rFonts w:cs="Arial"/>
        </w:rPr>
        <w:t xml:space="preserve">BGS </w:t>
      </w:r>
      <w:r w:rsidRPr="000B0879">
        <w:rPr>
          <w:rFonts w:cs="Arial"/>
        </w:rPr>
        <w:t>414.411</w:t>
      </w:r>
      <w:r>
        <w:rPr>
          <w:rFonts w:cs="Arial"/>
        </w:rPr>
        <w:t>) festgehalten</w:t>
      </w:r>
      <w:r w:rsidRPr="00B61E34">
        <w:rPr>
          <w:rFonts w:cs="Arial"/>
        </w:rPr>
        <w:t>.</w:t>
      </w:r>
    </w:p>
    <w:p w14:paraId="65C91AE2" w14:textId="419A80C5" w:rsidR="007D06B7" w:rsidRPr="00682F17" w:rsidRDefault="007D06B7" w:rsidP="00682F17">
      <w:pPr>
        <w:rPr>
          <w:rFonts w:cs="Arial"/>
          <w:color w:val="000000"/>
        </w:rPr>
      </w:pPr>
      <w:r w:rsidRPr="00682F17">
        <w:rPr>
          <w:rFonts w:cs="Arial"/>
          <w:color w:val="000000"/>
        </w:rPr>
        <w:t xml:space="preserve">Im Rahmen des eigenen Projekts der PH Zug wurden die Unterlagen zum kantonalen Projekt «Anstellungsbedingungen» geprüft, das geltende PH-Gesetz den Gesetzgebungen zahlreicher anderer Pädagogischen Hochschulen und Fachhochschulen gegenübergestellt und schliesslich Änderungsvorschläge für die Revision des PH-Gesetzes ausgearbeitet. Der von der Hochschulleitung der PH Zug (HSL) beschlossene Revisionsentwurf wurde dem Hochschulrat der PH Zug </w:t>
      </w:r>
      <w:r w:rsidR="00C13C6C">
        <w:rPr>
          <w:rFonts w:cs="Arial"/>
          <w:color w:val="000000"/>
        </w:rPr>
        <w:t xml:space="preserve">(HSR) </w:t>
      </w:r>
      <w:r w:rsidRPr="00682F17">
        <w:rPr>
          <w:rFonts w:cs="Arial"/>
          <w:color w:val="000000"/>
        </w:rPr>
        <w:t xml:space="preserve">am 1. März 2021 in Form eines Antrags mit Synopse unterbreitet und an dessen ausserordentlichen Sitzung vom 8. März 2021 diskutiert. Antrag und Synopse wurden anschliessend per 19. März 2021 und 28. September 2022 gemäss Beschlüssen der Sitzungen des </w:t>
      </w:r>
      <w:r w:rsidR="000D2678">
        <w:rPr>
          <w:rFonts w:cs="Arial"/>
          <w:color w:val="000000"/>
        </w:rPr>
        <w:t xml:space="preserve">HSR </w:t>
      </w:r>
      <w:r w:rsidRPr="00682F17">
        <w:rPr>
          <w:rFonts w:cs="Arial"/>
          <w:color w:val="000000"/>
        </w:rPr>
        <w:t xml:space="preserve">überarbeitet. Die Ergebnisse dieser Überarbeitungen sind in den vorliegenden Bericht und Antrag eingeflossen. </w:t>
      </w:r>
      <w:bookmarkStart w:id="12" w:name="_Toc298752142"/>
      <w:bookmarkEnd w:id="10"/>
      <w:bookmarkEnd w:id="11"/>
    </w:p>
    <w:p w14:paraId="351FC091" w14:textId="0C47443D" w:rsidR="006C27A0" w:rsidRDefault="006C27A0" w:rsidP="00682F17">
      <w:pPr>
        <w:spacing w:line="280" w:lineRule="exact"/>
        <w:rPr>
          <w:rFonts w:cs="Arial"/>
        </w:rPr>
      </w:pPr>
    </w:p>
    <w:p w14:paraId="25119321" w14:textId="77777777" w:rsidR="00DA5A9E" w:rsidRPr="005B053D" w:rsidRDefault="00DA5A9E" w:rsidP="00682F17">
      <w:pPr>
        <w:spacing w:line="280" w:lineRule="exact"/>
        <w:rPr>
          <w:rFonts w:cs="Arial"/>
        </w:rPr>
      </w:pPr>
    </w:p>
    <w:p w14:paraId="1E2B47A1" w14:textId="46ACD459" w:rsidR="007D06B7" w:rsidRDefault="007D06B7" w:rsidP="00682F17">
      <w:pPr>
        <w:autoSpaceDE w:val="0"/>
        <w:autoSpaceDN w:val="0"/>
        <w:adjustRightInd w:val="0"/>
        <w:ind w:left="567" w:hanging="567"/>
        <w:outlineLvl w:val="0"/>
        <w:rPr>
          <w:rFonts w:cs="Arial"/>
          <w:b/>
          <w:bCs/>
        </w:rPr>
      </w:pPr>
      <w:r w:rsidRPr="00682F17">
        <w:rPr>
          <w:rFonts w:cs="Arial"/>
          <w:b/>
          <w:bCs/>
        </w:rPr>
        <w:t xml:space="preserve">3. </w:t>
      </w:r>
      <w:r w:rsidR="009C2EBC">
        <w:rPr>
          <w:rFonts w:cs="Arial"/>
          <w:b/>
          <w:bCs/>
        </w:rPr>
        <w:tab/>
      </w:r>
      <w:r w:rsidRPr="00682F17">
        <w:rPr>
          <w:rFonts w:cs="Arial"/>
          <w:b/>
          <w:bCs/>
        </w:rPr>
        <w:t>Grundsätzliches – die wichtigsten Änderungen</w:t>
      </w:r>
    </w:p>
    <w:p w14:paraId="7D67B3DE" w14:textId="77777777" w:rsidR="00682F17" w:rsidRDefault="00682F17" w:rsidP="00682F17">
      <w:pPr>
        <w:autoSpaceDE w:val="0"/>
        <w:autoSpaceDN w:val="0"/>
        <w:adjustRightInd w:val="0"/>
        <w:ind w:left="567" w:hanging="567"/>
        <w:outlineLvl w:val="0"/>
        <w:rPr>
          <w:rFonts w:cs="Arial"/>
          <w:b/>
          <w:bCs/>
        </w:rPr>
      </w:pPr>
    </w:p>
    <w:p w14:paraId="68931F60" w14:textId="77777777" w:rsidR="007D06B7" w:rsidRDefault="007D06B7" w:rsidP="00685573">
      <w:pPr>
        <w:spacing w:after="120"/>
      </w:pPr>
      <w:r>
        <w:t xml:space="preserve">Im PH-Gesetz sollen formelle und materielle Änderungen vorgenommen werden. </w:t>
      </w:r>
    </w:p>
    <w:p w14:paraId="6F2796DD" w14:textId="406642BA" w:rsidR="007D06B7" w:rsidRPr="007A15B5" w:rsidRDefault="007D06B7" w:rsidP="007D06B7">
      <w:pPr>
        <w:spacing w:after="120"/>
      </w:pPr>
      <w:r>
        <w:t xml:space="preserve">Verschiedene Begrifflichkeiten des geltenden PH-Gesetzes sind nicht mehr gebräuchlich. Diesem Aspekt wird Rechnung getragen, indem die Begriffe der aktuellen Verwendung angepasst werden. </w:t>
      </w:r>
    </w:p>
    <w:p w14:paraId="5CD39930" w14:textId="31579DDA" w:rsidR="007D06B7" w:rsidRDefault="007D06B7" w:rsidP="007D06B7">
      <w:pPr>
        <w:spacing w:after="120"/>
      </w:pPr>
      <w:r>
        <w:t xml:space="preserve">Im zu revidierenden PH-Gesetz sollen, wo immer möglich, </w:t>
      </w:r>
      <w:r w:rsidRPr="00877EF0">
        <w:t xml:space="preserve">substantivierte Partizipien und Adjektive </w:t>
      </w:r>
      <w:r>
        <w:t>(Beispiel: Mitarbeitende) und somit g</w:t>
      </w:r>
      <w:r w:rsidRPr="00877EF0">
        <w:t xml:space="preserve">eschlechtsindifferente </w:t>
      </w:r>
      <w:r>
        <w:t>Varianten verwendet werden.</w:t>
      </w:r>
    </w:p>
    <w:p w14:paraId="3CA8BED9" w14:textId="77777777" w:rsidR="007D06B7" w:rsidRDefault="007D06B7" w:rsidP="002674EE">
      <w:pPr>
        <w:rPr>
          <w:rFonts w:cs="Arial"/>
          <w:color w:val="000000"/>
        </w:rPr>
      </w:pPr>
      <w:r w:rsidRPr="002674EE">
        <w:rPr>
          <w:rFonts w:cs="Arial"/>
          <w:color w:val="000000"/>
        </w:rPr>
        <w:t>Die materiellen Änderungen betreffen die folgenden Themenbereiche und werden nach dem folgenden Überblick im Einzelnen erläutert:</w:t>
      </w:r>
    </w:p>
    <w:p w14:paraId="30AE60B3" w14:textId="77777777" w:rsidR="002674EE" w:rsidRPr="002674EE" w:rsidRDefault="002674EE" w:rsidP="002674EE">
      <w:pPr>
        <w:rPr>
          <w:rFonts w:cs="Arial"/>
          <w:color w:val="000000"/>
        </w:rPr>
      </w:pPr>
    </w:p>
    <w:p w14:paraId="2CC09303" w14:textId="77777777" w:rsidR="002674EE" w:rsidRPr="002674EE" w:rsidRDefault="007D06B7" w:rsidP="009C2EBC">
      <w:pPr>
        <w:numPr>
          <w:ilvl w:val="0"/>
          <w:numId w:val="8"/>
        </w:numPr>
        <w:spacing w:line="276" w:lineRule="auto"/>
        <w:rPr>
          <w:rFonts w:cs="Arial"/>
          <w:color w:val="000000"/>
          <w:spacing w:val="0"/>
        </w:rPr>
      </w:pPr>
      <w:r w:rsidRPr="002174BB">
        <w:rPr>
          <w:rFonts w:cs="Arial"/>
          <w:color w:val="000000"/>
          <w:spacing w:val="0"/>
        </w:rPr>
        <w:t xml:space="preserve">Kompetenzregelung Regierungsrat – </w:t>
      </w:r>
      <w:r>
        <w:rPr>
          <w:rFonts w:cs="Arial"/>
          <w:color w:val="000000"/>
          <w:spacing w:val="0"/>
        </w:rPr>
        <w:t>Direktion für Bildung und Kultur</w:t>
      </w:r>
      <w:r w:rsidRPr="002174BB">
        <w:rPr>
          <w:rFonts w:cs="Arial"/>
          <w:color w:val="000000"/>
          <w:spacing w:val="0"/>
        </w:rPr>
        <w:t xml:space="preserve"> und H</w:t>
      </w:r>
      <w:r>
        <w:rPr>
          <w:rFonts w:cs="Arial"/>
          <w:color w:val="000000"/>
          <w:spacing w:val="0"/>
        </w:rPr>
        <w:t>ochschulrat</w:t>
      </w:r>
    </w:p>
    <w:p w14:paraId="72D4A7B6" w14:textId="662C3A88" w:rsidR="007D06B7" w:rsidRDefault="007D06B7" w:rsidP="006C27A0">
      <w:pPr>
        <w:spacing w:before="120"/>
        <w:rPr>
          <w:rFonts w:cs="Arial"/>
          <w:color w:val="000000"/>
        </w:rPr>
      </w:pPr>
      <w:r w:rsidRPr="00682F17">
        <w:rPr>
          <w:rFonts w:cs="Arial"/>
          <w:color w:val="000000"/>
        </w:rPr>
        <w:t>Aufgrund des Vergleichs mit anderen PH-/FH-Gesetzen ist die Kompetenzverteilung zwischen Regierungsrat, HSR, Direktion für Bildung und Kultur (DBK) sowie der HSL angepasst worden. Der HSR soll mehr Kompetenzen erhalten: personell, strategisch sowie hinsichtlich Erlasse</w:t>
      </w:r>
      <w:r w:rsidR="00435E3E">
        <w:rPr>
          <w:rFonts w:cs="Arial"/>
          <w:color w:val="000000"/>
        </w:rPr>
        <w:t>n</w:t>
      </w:r>
      <w:r w:rsidRPr="00682F17">
        <w:rPr>
          <w:rFonts w:cs="Arial"/>
          <w:color w:val="000000"/>
        </w:rPr>
        <w:t xml:space="preserve">/Regelungen. In diesem Zusammenhang </w:t>
      </w:r>
      <w:r w:rsidR="001D6E1A">
        <w:rPr>
          <w:rFonts w:cs="Arial"/>
          <w:color w:val="000000"/>
        </w:rPr>
        <w:t>wurde</w:t>
      </w:r>
      <w:r w:rsidR="001D6E1A" w:rsidRPr="00682F17">
        <w:rPr>
          <w:rFonts w:cs="Arial"/>
          <w:color w:val="000000"/>
        </w:rPr>
        <w:t xml:space="preserve"> </w:t>
      </w:r>
      <w:r w:rsidRPr="00682F17">
        <w:rPr>
          <w:rFonts w:cs="Arial"/>
          <w:color w:val="000000"/>
        </w:rPr>
        <w:t xml:space="preserve">das Augenmerk insbesondere auf die Differenzierung </w:t>
      </w:r>
      <w:r w:rsidR="001D6E1A">
        <w:rPr>
          <w:rFonts w:cs="Arial"/>
          <w:color w:val="000000"/>
        </w:rPr>
        <w:t>zwischen</w:t>
      </w:r>
      <w:r w:rsidR="001D6E1A" w:rsidRPr="00682F17">
        <w:rPr>
          <w:rFonts w:cs="Arial"/>
          <w:color w:val="000000"/>
        </w:rPr>
        <w:t xml:space="preserve"> </w:t>
      </w:r>
      <w:r w:rsidRPr="00682F17">
        <w:rPr>
          <w:rFonts w:cs="Arial"/>
          <w:color w:val="000000"/>
        </w:rPr>
        <w:t>den verschiedenen Kompetenzarten (erlassen, festlegen, genehmigen etc.) bei unterschiedlichen Regelungsdokumenten, insbesondere dem Studienreglement, gerichtet.</w:t>
      </w:r>
    </w:p>
    <w:p w14:paraId="6332F836" w14:textId="77777777" w:rsidR="002674EE" w:rsidRPr="00682F17" w:rsidRDefault="002674EE" w:rsidP="00682F17">
      <w:pPr>
        <w:rPr>
          <w:rFonts w:cs="Arial"/>
          <w:color w:val="000000"/>
        </w:rPr>
      </w:pPr>
    </w:p>
    <w:p w14:paraId="35691CA4" w14:textId="77777777" w:rsidR="007D06B7" w:rsidRPr="006C27A0" w:rsidRDefault="007D06B7" w:rsidP="009C2EBC">
      <w:pPr>
        <w:numPr>
          <w:ilvl w:val="0"/>
          <w:numId w:val="8"/>
        </w:numPr>
        <w:spacing w:line="276" w:lineRule="auto"/>
        <w:rPr>
          <w:rFonts w:cs="Arial"/>
          <w:color w:val="000000"/>
          <w:spacing w:val="0"/>
        </w:rPr>
      </w:pPr>
      <w:r w:rsidRPr="006C27A0">
        <w:rPr>
          <w:rFonts w:cs="Arial"/>
          <w:color w:val="000000"/>
          <w:spacing w:val="0"/>
        </w:rPr>
        <w:t xml:space="preserve">Studienreglement </w:t>
      </w:r>
    </w:p>
    <w:p w14:paraId="1C7C7E12" w14:textId="77777777" w:rsidR="007D06B7" w:rsidRDefault="007D06B7" w:rsidP="00C13C6C">
      <w:pPr>
        <w:spacing w:before="120"/>
        <w:rPr>
          <w:rFonts w:cs="Arial"/>
          <w:color w:val="000000"/>
        </w:rPr>
      </w:pPr>
      <w:r w:rsidRPr="0077553C">
        <w:rPr>
          <w:rFonts w:cs="Arial"/>
          <w:color w:val="000000"/>
        </w:rPr>
        <w:t>Die angepasste Kompetenzregelung wirkt sich auf den Erlass von die PH Zug betreffenden Regelungsdokumenten aus: Das Studienreglement (und die Studienpläne) erlässt</w:t>
      </w:r>
      <w:r>
        <w:rPr>
          <w:rFonts w:cs="Arial"/>
          <w:color w:val="000000"/>
        </w:rPr>
        <w:t xml:space="preserve"> neu</w:t>
      </w:r>
      <w:r w:rsidRPr="0077553C">
        <w:rPr>
          <w:rFonts w:cs="Arial"/>
          <w:color w:val="000000"/>
        </w:rPr>
        <w:t xml:space="preserve"> der HSR auf Antrag des Rektorats – analog zu anderen Pädagogischen Hochschulen. Die DBK genehmigt (in einem weiteren Schritt) das Studienreglement.</w:t>
      </w:r>
    </w:p>
    <w:p w14:paraId="6EFD3EBF" w14:textId="77777777" w:rsidR="002674EE" w:rsidRPr="0077553C" w:rsidRDefault="002674EE" w:rsidP="00682F17">
      <w:pPr>
        <w:rPr>
          <w:rFonts w:cs="Arial"/>
          <w:color w:val="000000"/>
        </w:rPr>
      </w:pPr>
    </w:p>
    <w:p w14:paraId="045D06CC" w14:textId="77777777" w:rsidR="007D06B7" w:rsidRPr="002174BB" w:rsidRDefault="007D06B7" w:rsidP="009C2EBC">
      <w:pPr>
        <w:pStyle w:val="Listenabsatz"/>
        <w:numPr>
          <w:ilvl w:val="0"/>
          <w:numId w:val="8"/>
        </w:numPr>
        <w:spacing w:line="276" w:lineRule="auto"/>
        <w:ind w:left="714" w:hanging="357"/>
        <w:rPr>
          <w:rFonts w:cs="Arial"/>
          <w:color w:val="000000"/>
          <w:spacing w:val="0"/>
        </w:rPr>
      </w:pPr>
      <w:r w:rsidRPr="002174BB">
        <w:rPr>
          <w:rFonts w:cs="Arial"/>
          <w:color w:val="000000"/>
          <w:spacing w:val="0"/>
        </w:rPr>
        <w:t>Verbreiterung der H</w:t>
      </w:r>
      <w:r w:rsidR="00C13C6C">
        <w:rPr>
          <w:rFonts w:cs="Arial"/>
          <w:color w:val="000000"/>
          <w:spacing w:val="0"/>
        </w:rPr>
        <w:t>SL</w:t>
      </w:r>
    </w:p>
    <w:p w14:paraId="7FDA78AD" w14:textId="00C49640" w:rsidR="007D06B7" w:rsidRDefault="007D06B7" w:rsidP="006C27A0">
      <w:pPr>
        <w:spacing w:before="120"/>
        <w:rPr>
          <w:rFonts w:cs="Arial"/>
          <w:color w:val="000000"/>
        </w:rPr>
      </w:pPr>
      <w:r w:rsidRPr="0077553C">
        <w:rPr>
          <w:rFonts w:cs="Arial"/>
          <w:color w:val="000000"/>
        </w:rPr>
        <w:t xml:space="preserve">Die bisher schmale </w:t>
      </w:r>
      <w:r w:rsidR="00C13C6C">
        <w:rPr>
          <w:rFonts w:cs="Arial"/>
          <w:color w:val="000000"/>
        </w:rPr>
        <w:t>HSL</w:t>
      </w:r>
      <w:r w:rsidRPr="0077553C">
        <w:rPr>
          <w:rFonts w:cs="Arial"/>
          <w:color w:val="000000"/>
        </w:rPr>
        <w:t xml:space="preserve">, bestehend aus drei Personen, soll um die Leitenden der </w:t>
      </w:r>
      <w:r w:rsidR="0049369F">
        <w:rPr>
          <w:rFonts w:cs="Arial"/>
          <w:color w:val="000000"/>
        </w:rPr>
        <w:t>beiden</w:t>
      </w:r>
      <w:r w:rsidR="0049369F" w:rsidRPr="0077553C">
        <w:rPr>
          <w:rFonts w:cs="Arial"/>
          <w:color w:val="000000"/>
        </w:rPr>
        <w:t xml:space="preserve"> </w:t>
      </w:r>
      <w:r w:rsidRPr="0077553C">
        <w:rPr>
          <w:rFonts w:cs="Arial"/>
          <w:color w:val="000000"/>
        </w:rPr>
        <w:t xml:space="preserve">Leistungsbereiche, Weiterbildung </w:t>
      </w:r>
      <w:r w:rsidR="00D52672">
        <w:rPr>
          <w:rFonts w:cs="Arial"/>
          <w:color w:val="000000"/>
        </w:rPr>
        <w:t>und</w:t>
      </w:r>
      <w:r w:rsidRPr="0077553C">
        <w:rPr>
          <w:rFonts w:cs="Arial"/>
          <w:color w:val="000000"/>
        </w:rPr>
        <w:t xml:space="preserve"> Dienstleistungen sowie Forschung </w:t>
      </w:r>
      <w:r w:rsidR="00D52672">
        <w:rPr>
          <w:rFonts w:cs="Arial"/>
          <w:color w:val="000000"/>
        </w:rPr>
        <w:t>und</w:t>
      </w:r>
      <w:r w:rsidRPr="0077553C">
        <w:rPr>
          <w:rFonts w:cs="Arial"/>
          <w:color w:val="000000"/>
        </w:rPr>
        <w:t xml:space="preserve"> Entwicklung, erweitert werden. Dies entspricht der üblichen Zusammensetzung von Hochschulleitungen Pädagogischer Hochschulen in der Schweiz.</w:t>
      </w:r>
    </w:p>
    <w:p w14:paraId="7B548A5E" w14:textId="77777777" w:rsidR="002674EE" w:rsidRPr="0077553C" w:rsidRDefault="002674EE" w:rsidP="00682F17">
      <w:pPr>
        <w:rPr>
          <w:rFonts w:cs="Arial"/>
          <w:color w:val="000000"/>
        </w:rPr>
      </w:pPr>
    </w:p>
    <w:p w14:paraId="754D2C5C" w14:textId="77777777" w:rsidR="007D06B7" w:rsidRPr="002174BB" w:rsidRDefault="007D06B7" w:rsidP="009C2EBC">
      <w:pPr>
        <w:numPr>
          <w:ilvl w:val="0"/>
          <w:numId w:val="8"/>
        </w:numPr>
        <w:spacing w:line="276" w:lineRule="auto"/>
        <w:rPr>
          <w:rFonts w:cs="Arial"/>
          <w:color w:val="000000"/>
          <w:spacing w:val="0"/>
        </w:rPr>
      </w:pPr>
      <w:r w:rsidRPr="002174BB">
        <w:rPr>
          <w:rFonts w:cs="Arial"/>
          <w:color w:val="000000"/>
          <w:spacing w:val="0"/>
        </w:rPr>
        <w:lastRenderedPageBreak/>
        <w:t>Partizipation: Vertreterin oder Vertreter der Dozierenden und Studierenden mit beratender Stimme im HSR</w:t>
      </w:r>
    </w:p>
    <w:p w14:paraId="2CABBB23" w14:textId="77777777" w:rsidR="007D06B7" w:rsidRDefault="007D06B7" w:rsidP="006C27A0">
      <w:pPr>
        <w:spacing w:before="120"/>
        <w:rPr>
          <w:rFonts w:cs="Arial"/>
          <w:color w:val="000000"/>
        </w:rPr>
      </w:pPr>
      <w:r w:rsidRPr="0077553C">
        <w:rPr>
          <w:rFonts w:cs="Arial"/>
          <w:color w:val="000000"/>
        </w:rPr>
        <w:t xml:space="preserve">Der PH-/FH-Vergleich zeigt, dass im HSR mindestens eine Vertretung der Dozierenden mit beratender Stimme Einsitz nimmt. Die Zürcher Fachhochschule (ZFH) als Verbund von grossen Hochschulen lässt mehrere Personal-Vertretungen zu (Dozierende, Studierende, wissenschaftliche Mitarbeitende und übriges Hochschulpersonal). Die </w:t>
      </w:r>
      <w:r w:rsidR="00C13C6C">
        <w:rPr>
          <w:rFonts w:cs="Arial"/>
          <w:color w:val="000000"/>
        </w:rPr>
        <w:t>HSL</w:t>
      </w:r>
      <w:r w:rsidRPr="0077553C">
        <w:rPr>
          <w:rFonts w:cs="Arial"/>
          <w:color w:val="000000"/>
        </w:rPr>
        <w:t xml:space="preserve"> spricht sich zudem für eine Studierendenvertretung aus, um die Sicht der Klientel bei Entscheiden für die PH Zug stärker zu gewichten.</w:t>
      </w:r>
    </w:p>
    <w:p w14:paraId="5336EEFA" w14:textId="77777777" w:rsidR="00682F17" w:rsidRPr="00682F17" w:rsidRDefault="00682F17" w:rsidP="00682F17">
      <w:pPr>
        <w:rPr>
          <w:rFonts w:cs="Arial"/>
          <w:color w:val="000000"/>
        </w:rPr>
      </w:pPr>
    </w:p>
    <w:p w14:paraId="7D7ACEAC" w14:textId="77777777" w:rsidR="007D06B7" w:rsidRPr="002174BB" w:rsidRDefault="007D06B7" w:rsidP="009C2EBC">
      <w:pPr>
        <w:numPr>
          <w:ilvl w:val="0"/>
          <w:numId w:val="8"/>
        </w:numPr>
        <w:spacing w:line="276" w:lineRule="auto"/>
        <w:rPr>
          <w:rFonts w:cs="Arial"/>
          <w:color w:val="000000"/>
          <w:spacing w:val="0"/>
        </w:rPr>
      </w:pPr>
      <w:r w:rsidRPr="002174BB">
        <w:rPr>
          <w:rFonts w:cs="Arial"/>
          <w:color w:val="000000"/>
          <w:spacing w:val="0"/>
        </w:rPr>
        <w:t>Hochschulpersonal</w:t>
      </w:r>
    </w:p>
    <w:p w14:paraId="3F798D25" w14:textId="2A533228" w:rsidR="00123CEB" w:rsidRDefault="007D06B7" w:rsidP="006C27A0">
      <w:pPr>
        <w:spacing w:before="120"/>
        <w:rPr>
          <w:rFonts w:cs="Arial"/>
          <w:color w:val="000000"/>
        </w:rPr>
      </w:pPr>
      <w:r w:rsidRPr="0077553C">
        <w:rPr>
          <w:rFonts w:cs="Arial"/>
          <w:color w:val="000000"/>
        </w:rPr>
        <w:t xml:space="preserve">Das Personal an Hochschulen kennt eigene Funktionen. Diese sollen im überarbeiteten PH-Gesetz in groben Kategorien aufgeführt und damit der Unterschied zu den Lehrpersonen auf der Sekundarstufe II sowie zum kantonalen Verwaltungspersonal verdeutlicht werden. </w:t>
      </w:r>
    </w:p>
    <w:p w14:paraId="1C6A8EF2" w14:textId="77777777" w:rsidR="00682F17" w:rsidRPr="0077553C" w:rsidRDefault="00682F17" w:rsidP="00682F17">
      <w:pPr>
        <w:rPr>
          <w:rFonts w:cs="Arial"/>
          <w:color w:val="000000"/>
        </w:rPr>
      </w:pPr>
    </w:p>
    <w:p w14:paraId="3EFA8A8B" w14:textId="0E0E122D" w:rsidR="007D06B7" w:rsidRPr="002174BB" w:rsidRDefault="00F2429F" w:rsidP="009C2EBC">
      <w:pPr>
        <w:numPr>
          <w:ilvl w:val="0"/>
          <w:numId w:val="8"/>
        </w:numPr>
        <w:spacing w:line="276" w:lineRule="auto"/>
        <w:rPr>
          <w:rFonts w:cs="Arial"/>
          <w:color w:val="000000"/>
          <w:spacing w:val="0"/>
        </w:rPr>
      </w:pPr>
      <w:r>
        <w:rPr>
          <w:color w:val="000000"/>
        </w:rPr>
        <w:t xml:space="preserve">Lohnsystematik </w:t>
      </w:r>
    </w:p>
    <w:p w14:paraId="003A270E" w14:textId="3FE8EEC4" w:rsidR="00F2429F" w:rsidRDefault="00692D81" w:rsidP="00F2429F">
      <w:pPr>
        <w:spacing w:before="120"/>
        <w:rPr>
          <w:color w:val="000000"/>
        </w:rPr>
      </w:pPr>
      <w:r>
        <w:t>Aufgrund des</w:t>
      </w:r>
      <w:r w:rsidR="00F2429F" w:rsidRPr="00DF55E7">
        <w:t xml:space="preserve"> kantonalen Projekt</w:t>
      </w:r>
      <w:r>
        <w:t>s</w:t>
      </w:r>
      <w:r w:rsidR="00F2429F" w:rsidRPr="00DF55E7">
        <w:t xml:space="preserve"> «Anstellungsbedingungen» </w:t>
      </w:r>
      <w:r>
        <w:t>wird</w:t>
      </w:r>
      <w:r w:rsidR="00F2429F" w:rsidRPr="00DF55E7">
        <w:t xml:space="preserve"> die TREZ abgeschafft bzw. unter Wahrung des Besitzstands der Mitarbeitenden in das Lohnsystem eingebunden. Für das Hochschulpersonal im </w:t>
      </w:r>
      <w:r>
        <w:t>vier</w:t>
      </w:r>
      <w:r w:rsidR="00F2429F" w:rsidRPr="00DF55E7">
        <w:t xml:space="preserve">fachen Auftrag der PH Zug bzw. den Lehrkörper (Dozierende, Lehrbeauftragte und wissenschaftliche Mitarbeitende und Assistierende) wird die Lohnsystematik im Sinne der Zuordnung von Mitarbeitendenkategorien zu bestimmten Lohnklassen grundsätzlich beibehalten. Die Lohnentwicklung soll jedoch neu einer anderen Systematik folgen als diejenige der Lehrpersonen der kantonalen oder gemeindlichen Schulen. Das künftige Lohnentwicklungssystem für diese Personalkategorien sieht weiterhin einen automatischen Stufenanstieg vor, doch wird die Lohnkurve weniger steil ansteigen als bisher, wo der Lohn im Alter von 43 Jahren stagnieren konnte. Eine flacher verlaufende Lohnkurve trägt den langen Laufbahnwegen des Hochschulpersonals Rechnung und ermöglicht die differenziertere Honorierung der verschiedenen Qualifikationsschritte ihres vielfältigen Kompetenzprofils. Ferner </w:t>
      </w:r>
      <w:r w:rsidR="00F2429F">
        <w:rPr>
          <w:color w:val="000000"/>
        </w:rPr>
        <w:t>zeigt sich ein Trend, dass die jüngere Generation früher und mit teilweise unvollständigen Qualifikationen in die PH Zug eintritt und entsprechend eine längere Verweildauer aufweist. Vorgesehen sind wie bisher drei Dozierendenkategorien und neu drei, anstatt bisher nur zwei Personalkategorien für die wissenschaftlichen Mitarbeitenden und Assistierenden (vgl. ausführlicher unter</w:t>
      </w:r>
      <w:r w:rsidR="003D1ABB">
        <w:rPr>
          <w:color w:val="000000"/>
        </w:rPr>
        <w:t xml:space="preserve"> </w:t>
      </w:r>
      <w:r w:rsidR="001C315D">
        <w:rPr>
          <w:color w:val="000000"/>
        </w:rPr>
        <w:t>Ziffer 5.5</w:t>
      </w:r>
      <w:r w:rsidR="00F2429F">
        <w:rPr>
          <w:color w:val="000000"/>
        </w:rPr>
        <w:t>).</w:t>
      </w:r>
    </w:p>
    <w:p w14:paraId="56FEE3D4" w14:textId="7D1AEF08" w:rsidR="00F2429F" w:rsidRDefault="00CE4868" w:rsidP="00F2429F">
      <w:pPr>
        <w:spacing w:before="120"/>
        <w:rPr>
          <w:color w:val="000000"/>
          <w:spacing w:val="0"/>
        </w:rPr>
      </w:pPr>
      <w:r>
        <w:rPr>
          <w:color w:val="000000"/>
        </w:rPr>
        <w:t xml:space="preserve">Die Mitarbeitenden </w:t>
      </w:r>
      <w:r w:rsidR="00F2429F">
        <w:rPr>
          <w:color w:val="000000"/>
        </w:rPr>
        <w:t xml:space="preserve">in der zentralen und dezentralen Verwaltung </w:t>
      </w:r>
      <w:r w:rsidR="00122DF7">
        <w:rPr>
          <w:color w:val="000000"/>
        </w:rPr>
        <w:t>sowie</w:t>
      </w:r>
      <w:r>
        <w:rPr>
          <w:color w:val="000000"/>
        </w:rPr>
        <w:t xml:space="preserve"> den Stäben </w:t>
      </w:r>
      <w:r w:rsidR="00122DF7">
        <w:rPr>
          <w:color w:val="000000"/>
        </w:rPr>
        <w:t>werden</w:t>
      </w:r>
      <w:r w:rsidR="00F2429F">
        <w:rPr>
          <w:color w:val="000000"/>
        </w:rPr>
        <w:t xml:space="preserve"> nach der Lohnsystematik des </w:t>
      </w:r>
      <w:r w:rsidR="00692D81">
        <w:rPr>
          <w:color w:val="000000"/>
        </w:rPr>
        <w:t>Gesetzes über das Arbeitsverhältnis des Staatspersonals</w:t>
      </w:r>
      <w:r w:rsidR="00F2429F">
        <w:rPr>
          <w:color w:val="000000"/>
        </w:rPr>
        <w:t xml:space="preserve"> (Personalgesetz; PG) vom 1. September 1994 (BGS </w:t>
      </w:r>
      <w:r w:rsidR="00F2429F" w:rsidRPr="000B0879">
        <w:t>154.21</w:t>
      </w:r>
      <w:r w:rsidR="00F2429F">
        <w:rPr>
          <w:color w:val="000000"/>
        </w:rPr>
        <w:t xml:space="preserve">) eingestuft. Dasselbe gilt für Stabsmitarbeitende in spezifischen Funktionen (z.B. International Office, Rechtsdienst, Generalsekretariat im Rektorat, Mediothek etc.). </w:t>
      </w:r>
    </w:p>
    <w:p w14:paraId="5618AC8B" w14:textId="77777777" w:rsidR="002674EE" w:rsidRDefault="002674EE" w:rsidP="002674EE">
      <w:pPr>
        <w:rPr>
          <w:rFonts w:cs="Arial"/>
          <w:color w:val="000000"/>
        </w:rPr>
      </w:pPr>
    </w:p>
    <w:p w14:paraId="0BA036DA" w14:textId="77777777" w:rsidR="007D06B7" w:rsidRPr="002174BB" w:rsidRDefault="007D06B7" w:rsidP="009C2EBC">
      <w:pPr>
        <w:numPr>
          <w:ilvl w:val="0"/>
          <w:numId w:val="8"/>
        </w:numPr>
        <w:spacing w:line="276" w:lineRule="auto"/>
        <w:rPr>
          <w:rFonts w:cs="Arial"/>
          <w:color w:val="000000"/>
          <w:spacing w:val="0"/>
        </w:rPr>
      </w:pPr>
      <w:r w:rsidRPr="002174BB">
        <w:rPr>
          <w:rFonts w:cs="Arial"/>
          <w:color w:val="000000"/>
          <w:spacing w:val="0"/>
        </w:rPr>
        <w:t>Finanzen</w:t>
      </w:r>
    </w:p>
    <w:p w14:paraId="1C650152" w14:textId="77777777" w:rsidR="007D06B7" w:rsidRPr="0077553C" w:rsidRDefault="007D06B7" w:rsidP="006C27A0">
      <w:pPr>
        <w:spacing w:before="120"/>
        <w:rPr>
          <w:rFonts w:cs="Arial"/>
          <w:color w:val="000000"/>
        </w:rPr>
      </w:pPr>
      <w:r w:rsidRPr="0077553C">
        <w:rPr>
          <w:rFonts w:cs="Arial"/>
          <w:color w:val="000000"/>
        </w:rPr>
        <w:t>Die Reservebildung der PH Zug ist im PH-Vergleich eher tief und soll erhöht werden. Das erst im November definitiv verabschiedete Budget für das Folgejahr bringt regelmässig Verzögerungen bei der Lancierung von Projekten der Strategie mit sich. Aus diesem Grund haben einige</w:t>
      </w:r>
      <w:r>
        <w:rPr>
          <w:rFonts w:cs="Arial"/>
          <w:color w:val="000000"/>
        </w:rPr>
        <w:t xml:space="preserve"> Pädagogische Hochschulen</w:t>
      </w:r>
      <w:r w:rsidRPr="0077553C">
        <w:rPr>
          <w:rFonts w:cs="Arial"/>
          <w:color w:val="000000"/>
        </w:rPr>
        <w:t xml:space="preserve"> einen Leistungsauftrag über </w:t>
      </w:r>
      <w:r>
        <w:rPr>
          <w:rFonts w:cs="Arial"/>
          <w:color w:val="000000"/>
        </w:rPr>
        <w:t>zwei</w:t>
      </w:r>
      <w:r w:rsidRPr="0077553C">
        <w:rPr>
          <w:rFonts w:cs="Arial"/>
          <w:color w:val="000000"/>
        </w:rPr>
        <w:t xml:space="preserve"> Jahre (z.B. PH Schwyz) oder eine grössere Reservebildung, damit längere Planungszeiten möglich sind. </w:t>
      </w:r>
    </w:p>
    <w:p w14:paraId="69F05C23" w14:textId="77777777" w:rsidR="007D06B7" w:rsidRDefault="007D06B7" w:rsidP="007D06B7">
      <w:pPr>
        <w:rPr>
          <w:rFonts w:cs="Arial"/>
        </w:rPr>
      </w:pPr>
      <w:bookmarkStart w:id="13" w:name="_Toc298752154"/>
      <w:bookmarkEnd w:id="12"/>
    </w:p>
    <w:p w14:paraId="450B9124" w14:textId="77777777" w:rsidR="006C27A0" w:rsidRPr="00642D18" w:rsidRDefault="006C27A0" w:rsidP="007D06B7">
      <w:pPr>
        <w:rPr>
          <w:rFonts w:cs="Arial"/>
        </w:rPr>
      </w:pPr>
    </w:p>
    <w:p w14:paraId="67CBF787" w14:textId="6F5B2FBF" w:rsidR="007D06B7" w:rsidRPr="00642D18" w:rsidRDefault="007D06B7" w:rsidP="00682F17">
      <w:pPr>
        <w:autoSpaceDE w:val="0"/>
        <w:autoSpaceDN w:val="0"/>
        <w:adjustRightInd w:val="0"/>
        <w:ind w:left="567" w:hanging="567"/>
        <w:outlineLvl w:val="0"/>
        <w:rPr>
          <w:rFonts w:cs="Arial"/>
          <w:b/>
          <w:bCs/>
        </w:rPr>
      </w:pPr>
      <w:r>
        <w:rPr>
          <w:rFonts w:cs="Arial"/>
          <w:b/>
          <w:bCs/>
        </w:rPr>
        <w:t>4</w:t>
      </w:r>
      <w:r w:rsidRPr="00642D18">
        <w:rPr>
          <w:rFonts w:cs="Arial"/>
          <w:b/>
          <w:bCs/>
        </w:rPr>
        <w:t xml:space="preserve">. </w:t>
      </w:r>
      <w:r w:rsidR="009C2EBC">
        <w:rPr>
          <w:rFonts w:cs="Arial"/>
          <w:b/>
          <w:bCs/>
        </w:rPr>
        <w:tab/>
      </w:r>
      <w:r w:rsidRPr="00642D18">
        <w:rPr>
          <w:rFonts w:cs="Arial"/>
          <w:b/>
          <w:bCs/>
        </w:rPr>
        <w:t>Ergebnisse des Vernehmlassungsverfahrens</w:t>
      </w:r>
    </w:p>
    <w:p w14:paraId="42146470" w14:textId="77777777" w:rsidR="006C27A0" w:rsidRDefault="006C27A0" w:rsidP="007D06B7">
      <w:pPr>
        <w:autoSpaceDE w:val="0"/>
        <w:autoSpaceDN w:val="0"/>
        <w:adjustRightInd w:val="0"/>
        <w:outlineLvl w:val="0"/>
        <w:rPr>
          <w:rFonts w:cs="Arial"/>
          <w:bCs/>
        </w:rPr>
      </w:pPr>
    </w:p>
    <w:p w14:paraId="67FDDCBF" w14:textId="7485286B" w:rsidR="007D06B7" w:rsidRDefault="007D06B7" w:rsidP="007D06B7">
      <w:pPr>
        <w:autoSpaceDE w:val="0"/>
        <w:autoSpaceDN w:val="0"/>
        <w:adjustRightInd w:val="0"/>
        <w:outlineLvl w:val="0"/>
        <w:rPr>
          <w:rFonts w:cs="Arial"/>
          <w:bCs/>
        </w:rPr>
      </w:pPr>
      <w:r>
        <w:rPr>
          <w:rFonts w:cs="Arial"/>
          <w:bCs/>
        </w:rPr>
        <w:t>[…]</w:t>
      </w:r>
    </w:p>
    <w:p w14:paraId="110A7411" w14:textId="336C7474" w:rsidR="006C27A0" w:rsidRDefault="006C27A0" w:rsidP="007D06B7">
      <w:pPr>
        <w:autoSpaceDE w:val="0"/>
        <w:autoSpaceDN w:val="0"/>
        <w:adjustRightInd w:val="0"/>
        <w:outlineLvl w:val="0"/>
        <w:rPr>
          <w:rFonts w:cs="Arial"/>
          <w:bCs/>
        </w:rPr>
      </w:pPr>
    </w:p>
    <w:p w14:paraId="62BC490D" w14:textId="77777777" w:rsidR="00CF5C34" w:rsidRPr="00642D18" w:rsidRDefault="00CF5C34" w:rsidP="007D06B7">
      <w:pPr>
        <w:autoSpaceDE w:val="0"/>
        <w:autoSpaceDN w:val="0"/>
        <w:adjustRightInd w:val="0"/>
        <w:outlineLvl w:val="0"/>
        <w:rPr>
          <w:rFonts w:cs="Arial"/>
          <w:bCs/>
        </w:rPr>
      </w:pPr>
    </w:p>
    <w:p w14:paraId="59135A22" w14:textId="1843B54A" w:rsidR="007D06B7" w:rsidRDefault="007D06B7" w:rsidP="00682F17">
      <w:pPr>
        <w:autoSpaceDE w:val="0"/>
        <w:autoSpaceDN w:val="0"/>
        <w:adjustRightInd w:val="0"/>
        <w:ind w:left="567" w:hanging="567"/>
        <w:outlineLvl w:val="0"/>
        <w:rPr>
          <w:rFonts w:cs="Arial"/>
          <w:b/>
          <w:bCs/>
        </w:rPr>
      </w:pPr>
      <w:bookmarkStart w:id="14" w:name="_Toc298765759"/>
      <w:bookmarkEnd w:id="13"/>
      <w:r>
        <w:rPr>
          <w:rFonts w:cs="Arial"/>
          <w:b/>
          <w:bCs/>
        </w:rPr>
        <w:lastRenderedPageBreak/>
        <w:t>5</w:t>
      </w:r>
      <w:r w:rsidRPr="00642D18">
        <w:rPr>
          <w:rFonts w:cs="Arial"/>
          <w:b/>
          <w:bCs/>
        </w:rPr>
        <w:t xml:space="preserve">. </w:t>
      </w:r>
      <w:r w:rsidR="009C2EBC">
        <w:rPr>
          <w:rFonts w:cs="Arial"/>
          <w:b/>
          <w:bCs/>
        </w:rPr>
        <w:tab/>
      </w:r>
      <w:r w:rsidRPr="00642D18">
        <w:rPr>
          <w:rFonts w:cs="Arial"/>
          <w:b/>
          <w:bCs/>
        </w:rPr>
        <w:t>Erläuterungen zu einzelnen Bestimmungen</w:t>
      </w:r>
      <w:bookmarkEnd w:id="14"/>
      <w:r w:rsidRPr="00642D18">
        <w:rPr>
          <w:rFonts w:cs="Arial"/>
          <w:b/>
          <w:bCs/>
        </w:rPr>
        <w:t xml:space="preserve"> des Gesetzes</w:t>
      </w:r>
    </w:p>
    <w:p w14:paraId="7E4A8DE1" w14:textId="77777777" w:rsidR="006C27A0" w:rsidRPr="009022AE" w:rsidRDefault="006C27A0" w:rsidP="00682F17">
      <w:pPr>
        <w:autoSpaceDE w:val="0"/>
        <w:autoSpaceDN w:val="0"/>
        <w:adjustRightInd w:val="0"/>
        <w:ind w:left="567" w:hanging="567"/>
        <w:outlineLvl w:val="0"/>
        <w:rPr>
          <w:rFonts w:cs="Arial"/>
          <w:b/>
          <w:bCs/>
        </w:rPr>
      </w:pPr>
    </w:p>
    <w:p w14:paraId="0D31DC1D" w14:textId="726E1361" w:rsidR="007D06B7" w:rsidRDefault="000F4106" w:rsidP="000F4106">
      <w:pPr>
        <w:pStyle w:val="berschrift2"/>
        <w:keepLines/>
        <w:numPr>
          <w:ilvl w:val="0"/>
          <w:numId w:val="0"/>
        </w:numPr>
        <w:spacing w:before="0"/>
      </w:pPr>
      <w:r>
        <w:t xml:space="preserve">5.1. </w:t>
      </w:r>
      <w:r w:rsidR="00682F17" w:rsidRPr="002674EE">
        <w:t>T</w:t>
      </w:r>
      <w:r w:rsidR="007D06B7" w:rsidRPr="002674EE">
        <w:t>itel/Ingress</w:t>
      </w:r>
    </w:p>
    <w:p w14:paraId="38CCD09D" w14:textId="77777777" w:rsidR="009C2EBC" w:rsidRPr="009C2EBC" w:rsidRDefault="009C2EBC" w:rsidP="009C2EBC">
      <w:pPr>
        <w:pStyle w:val="Textkrper"/>
      </w:pPr>
    </w:p>
    <w:p w14:paraId="4CD60340" w14:textId="3771B63C" w:rsidR="007D06B7" w:rsidRDefault="007D06B7" w:rsidP="002674EE">
      <w:bookmarkStart w:id="15" w:name="_Hlk63350386"/>
      <w:r>
        <w:t xml:space="preserve">Die im Umgang mit dem </w:t>
      </w:r>
      <w:r w:rsidRPr="00567AC0">
        <w:t xml:space="preserve">Gesetz über die Pädagogische Hochschule Zug </w:t>
      </w:r>
      <w:r>
        <w:t>oft verwendete Kurzbezeichnung «PH-Gesetz» und die ebenfalls gebräuchliche Abkürzung «PHG» sind in das Gesetz aufzunehmen.</w:t>
      </w:r>
    </w:p>
    <w:p w14:paraId="4947895D" w14:textId="77777777" w:rsidR="002674EE" w:rsidRPr="007C52E6" w:rsidRDefault="002674EE" w:rsidP="002674EE"/>
    <w:bookmarkEnd w:id="15"/>
    <w:p w14:paraId="586D89D4" w14:textId="0A40BC87" w:rsidR="007D06B7" w:rsidRDefault="000F4106" w:rsidP="000F4106">
      <w:pPr>
        <w:pStyle w:val="berschrift2"/>
        <w:keepLines/>
        <w:numPr>
          <w:ilvl w:val="0"/>
          <w:numId w:val="0"/>
        </w:numPr>
        <w:spacing w:before="0"/>
      </w:pPr>
      <w:r>
        <w:t xml:space="preserve">5.2. </w:t>
      </w:r>
      <w:r w:rsidR="007D06B7" w:rsidRPr="0061640C">
        <w:t>Grundlagen</w:t>
      </w:r>
    </w:p>
    <w:p w14:paraId="4798977F" w14:textId="77777777" w:rsidR="009C2EBC" w:rsidRPr="009C2EBC" w:rsidRDefault="009C2EBC" w:rsidP="009C2EBC">
      <w:pPr>
        <w:pStyle w:val="Textkrper"/>
      </w:pPr>
    </w:p>
    <w:p w14:paraId="7D4D6A12" w14:textId="77777777" w:rsidR="007D06B7" w:rsidRDefault="007D06B7" w:rsidP="007D06B7">
      <w:pPr>
        <w:rPr>
          <w:b/>
          <w:bCs/>
        </w:rPr>
      </w:pPr>
      <w:r w:rsidRPr="007E605B">
        <w:rPr>
          <w:b/>
          <w:bCs/>
        </w:rPr>
        <w:t>§ 1 Bestand und Stellung</w:t>
      </w:r>
    </w:p>
    <w:p w14:paraId="1DEB2F80" w14:textId="77777777" w:rsidR="007D06B7" w:rsidRDefault="007D06B7" w:rsidP="006C27A0">
      <w:pPr>
        <w:spacing w:before="120" w:after="120"/>
      </w:pPr>
      <w:r w:rsidRPr="003B039C">
        <w:t xml:space="preserve">In zwei zu ergänzenden Absätzen soll auf die Autonomie der Hochschule sowie die Freiheit von Lehre und Forschung hingewiesen werden. </w:t>
      </w:r>
      <w:r>
        <w:t>Im Folgenden wird diese Ergänzung juristisch hergeleitet und begründet.</w:t>
      </w:r>
    </w:p>
    <w:p w14:paraId="6289F7D2" w14:textId="74CCA995" w:rsidR="007D06B7" w:rsidRDefault="007D06B7" w:rsidP="007D06B7">
      <w:pPr>
        <w:autoSpaceDE w:val="0"/>
        <w:autoSpaceDN w:val="0"/>
        <w:adjustRightInd w:val="0"/>
        <w:spacing w:after="120"/>
      </w:pPr>
      <w:r w:rsidRPr="003B039C">
        <w:t xml:space="preserve">Gemäss Art. 63a Abs. 3 </w:t>
      </w:r>
      <w:r>
        <w:t xml:space="preserve">Satz 1 </w:t>
      </w:r>
      <w:r w:rsidRPr="003B039C">
        <w:t xml:space="preserve">der Bundesverfassung </w:t>
      </w:r>
      <w:r>
        <w:t>der Schweizerischen Eidgenossenschaft vom 18. April 1999 (BV; SR 101)</w:t>
      </w:r>
      <w:r w:rsidRPr="003B039C">
        <w:t xml:space="preserve"> sorgen Bund und Kantone gemeinsam für die Koordination und für die Gewährleistung der Qualitätssicherung im schweizerischen Hochschulwesen. </w:t>
      </w:r>
      <w:r w:rsidRPr="00E65E31">
        <w:t xml:space="preserve">Die Regelungskompetenz des Hochschulwesens </w:t>
      </w:r>
      <w:r>
        <w:t xml:space="preserve">ist in Bezug auf </w:t>
      </w:r>
      <w:r w:rsidR="00CA043F">
        <w:t xml:space="preserve">die </w:t>
      </w:r>
      <w:r w:rsidRPr="00E65E31">
        <w:t>Pädagogische</w:t>
      </w:r>
      <w:r w:rsidR="00D825C9">
        <w:t>n</w:t>
      </w:r>
      <w:r w:rsidRPr="00E65E31">
        <w:t xml:space="preserve"> Hochschule</w:t>
      </w:r>
      <w:r>
        <w:t xml:space="preserve">n </w:t>
      </w:r>
      <w:r w:rsidRPr="00E65E31">
        <w:t xml:space="preserve">grundsätzlich den Kantonen zugeordnet. </w:t>
      </w:r>
      <w:r>
        <w:t>Die Kantone</w:t>
      </w:r>
      <w:r w:rsidRPr="003B039C">
        <w:t xml:space="preserve"> nehmen dabei Rücksicht auf die Autonomie der Hochschulen</w:t>
      </w:r>
      <w:r>
        <w:t xml:space="preserve"> (Art. 63a Abs. 3 Satz 3</w:t>
      </w:r>
      <w:r w:rsidR="005824D1">
        <w:t>,</w:t>
      </w:r>
      <w:r>
        <w:t xml:space="preserve"> 1. Teilsatz)</w:t>
      </w:r>
      <w:r w:rsidRPr="003B039C">
        <w:t xml:space="preserve">. Aus </w:t>
      </w:r>
      <w:r>
        <w:t>diesem</w:t>
      </w:r>
      <w:r w:rsidRPr="003B039C">
        <w:t xml:space="preserve"> Gebot der Rücksichtnahme ergibt sich «die </w:t>
      </w:r>
      <w:r w:rsidRPr="001C315D">
        <w:rPr>
          <w:iCs/>
        </w:rPr>
        <w:t>generelle</w:t>
      </w:r>
      <w:r w:rsidRPr="003B039C">
        <w:rPr>
          <w:i/>
          <w:iCs/>
        </w:rPr>
        <w:t>,</w:t>
      </w:r>
      <w:r w:rsidRPr="003B039C">
        <w:t xml:space="preserve"> also nicht auf die Bereiche Koordination und Qualitätssicherung beschränkte Verpflichtung, […] die Pädagogischen Hochschulen in den Hochschulgesetzgebungen und -verträgen mit Autonomie </w:t>
      </w:r>
      <w:r w:rsidRPr="001C315D">
        <w:rPr>
          <w:iCs/>
        </w:rPr>
        <w:t>auszustatten</w:t>
      </w:r>
      <w:r w:rsidRPr="003B039C">
        <w:t xml:space="preserve"> und diese namentlich bei der Erteilung von Leistungsaufträgen sowie bei der Aufsichtstätigkeit (also etwa im Rahmen von Genehmigungsverfahren oder des Fällens von Rechtsmittelentscheiden) </w:t>
      </w:r>
      <w:r w:rsidRPr="001C315D">
        <w:rPr>
          <w:iCs/>
        </w:rPr>
        <w:t>zu respektieren»</w:t>
      </w:r>
      <w:r w:rsidRPr="003B039C">
        <w:rPr>
          <w:i/>
          <w:iCs/>
        </w:rPr>
        <w:t>.</w:t>
      </w:r>
      <w:r w:rsidRPr="003B039C">
        <w:rPr>
          <w:rStyle w:val="Funotenzeichen"/>
          <w:rFonts w:eastAsia="Calibri"/>
        </w:rPr>
        <w:footnoteReference w:id="1"/>
      </w:r>
      <w:r w:rsidRPr="003B039C">
        <w:rPr>
          <w:i/>
          <w:iCs/>
        </w:rPr>
        <w:t xml:space="preserve"> </w:t>
      </w:r>
      <w:r>
        <w:t>Zentral dafür sind</w:t>
      </w:r>
      <w:r w:rsidRPr="003B039C">
        <w:t xml:space="preserve"> </w:t>
      </w:r>
      <w:r>
        <w:t xml:space="preserve">der </w:t>
      </w:r>
      <w:r w:rsidRPr="003B039C">
        <w:t>«Erlass und […] Vollzug eigener Satzungen (Organisations-, Finanz- und Personal</w:t>
      </w:r>
      <w:r w:rsidR="000B0879">
        <w:t>-</w:t>
      </w:r>
      <w:r w:rsidRPr="003B039C">
        <w:t>reglemente, Studien- und Prüfungsordnungen, Zulassungsrichtlinien usw.)</w:t>
      </w:r>
      <w:r>
        <w:t xml:space="preserve">» </w:t>
      </w:r>
      <w:r w:rsidRPr="003B039C">
        <w:t xml:space="preserve">wie </w:t>
      </w:r>
      <w:r>
        <w:t xml:space="preserve">auch die Gewährleistung von </w:t>
      </w:r>
      <w:r w:rsidRPr="003B039C">
        <w:t>Gestaltungs-, Beurteilungs- und Ermessensspielräume</w:t>
      </w:r>
      <w:r w:rsidR="00391FB0">
        <w:t>n</w:t>
      </w:r>
      <w:r w:rsidRPr="003B039C">
        <w:t xml:space="preserve"> </w:t>
      </w:r>
      <w:r>
        <w:t>«</w:t>
      </w:r>
      <w:r w:rsidRPr="003B039C">
        <w:t>bei der Anwendung des übergeordneten Rechts (zu denken ist vor allem an das Hochschul- und das Personalrecht des jeweiligen Hochschulträgers)».</w:t>
      </w:r>
      <w:r w:rsidRPr="003B039C">
        <w:rPr>
          <w:rStyle w:val="Funotenzeichen"/>
          <w:rFonts w:eastAsia="Calibri"/>
        </w:rPr>
        <w:footnoteReference w:id="2"/>
      </w:r>
      <w:r w:rsidRPr="003B039C">
        <w:t xml:space="preserve"> Nach Ansicht der Lehre ist den Hochschulen </w:t>
      </w:r>
      <w:r>
        <w:t xml:space="preserve">hierbei </w:t>
      </w:r>
      <w:r w:rsidRPr="003B039C">
        <w:t>sogar «möglichst viel» Spielraum zu gewähren.</w:t>
      </w:r>
      <w:r w:rsidRPr="003B039C">
        <w:rPr>
          <w:rStyle w:val="Funotenzeichen"/>
          <w:rFonts w:eastAsia="Calibri"/>
        </w:rPr>
        <w:footnoteReference w:id="3"/>
      </w:r>
      <w:r>
        <w:t xml:space="preserve"> </w:t>
      </w:r>
      <w:r w:rsidRPr="003B039C">
        <w:t xml:space="preserve">Auch das für die institutionelle Akkreditierung der PH Zug massgebende Bundesgesetz über die Förderung der Hochschulen und die Koordination im schweizerischen Hochschulbereich </w:t>
      </w:r>
      <w:r>
        <w:t>vom 30. September 2010 (</w:t>
      </w:r>
      <w:r w:rsidR="00D825C9" w:rsidRPr="005B4EFB">
        <w:t>Hochschulförderungs</w:t>
      </w:r>
      <w:r w:rsidR="00D825C9" w:rsidRPr="003B039C">
        <w:t>- und -koordinationsgesetz, HFKG</w:t>
      </w:r>
      <w:r w:rsidR="00D825C9">
        <w:t xml:space="preserve">; </w:t>
      </w:r>
      <w:r>
        <w:t xml:space="preserve">SR 414.20) </w:t>
      </w:r>
      <w:r w:rsidRPr="003B039C">
        <w:t>erwähnt unter den Grundsätzen der Aufgabenerfüllung die Notwendigkeit der Gewährleistung der Autonomie von Hochschulen</w:t>
      </w:r>
      <w:r>
        <w:t xml:space="preserve"> (vgl. Art. 5 HFKG)</w:t>
      </w:r>
      <w:r w:rsidRPr="003B039C">
        <w:t xml:space="preserve">. </w:t>
      </w:r>
      <w:r w:rsidRPr="003B039C">
        <w:br/>
      </w:r>
      <w:r>
        <w:t xml:space="preserve">Aus Vorstehendem ergibt sich, dass </w:t>
      </w:r>
      <w:r w:rsidRPr="00225024">
        <w:t>dort, wo</w:t>
      </w:r>
      <w:r>
        <w:t xml:space="preserve"> dies</w:t>
      </w:r>
      <w:r w:rsidRPr="00225024">
        <w:t xml:space="preserve"> möglich</w:t>
      </w:r>
      <w:r>
        <w:t xml:space="preserve"> ist</w:t>
      </w:r>
      <w:r w:rsidRPr="00225024">
        <w:t>, Kompetenzdelegationen (Kanton</w:t>
      </w:r>
      <w:r>
        <w:t> </w:t>
      </w:r>
      <w:r w:rsidRPr="00225024">
        <w:t>– Hochschule; wie dies auch im Verhältnis Kanton – Gemeinden tendenziell der Fall ist) vorzusehen</w:t>
      </w:r>
      <w:r>
        <w:t xml:space="preserve"> sind</w:t>
      </w:r>
      <w:r w:rsidRPr="00225024">
        <w:t>, wobei eine Hochschule als selbständige öffentlich-rechtliche Anstalt</w:t>
      </w:r>
      <w:r>
        <w:t xml:space="preserve"> mit eigener Rechtspersönlichkeit</w:t>
      </w:r>
      <w:r w:rsidRPr="00225024">
        <w:t xml:space="preserve"> (§ 1 Abs.</w:t>
      </w:r>
      <w:r>
        <w:t> </w:t>
      </w:r>
      <w:r w:rsidRPr="00225024">
        <w:t xml:space="preserve">2 PHG) im Vergleich zu einem kantonalen Amt formal unabhängiger zu sein hat. </w:t>
      </w:r>
    </w:p>
    <w:p w14:paraId="61F52793" w14:textId="27436289" w:rsidR="007D06B7" w:rsidRPr="001F4D3A" w:rsidRDefault="007D06B7" w:rsidP="007D06B7">
      <w:pPr>
        <w:autoSpaceDE w:val="0"/>
        <w:autoSpaceDN w:val="0"/>
        <w:adjustRightInd w:val="0"/>
      </w:pPr>
      <w:r>
        <w:t>Die Freiheit von Lehre und Forschung</w:t>
      </w:r>
      <w:r w:rsidRPr="001F4D3A">
        <w:t xml:space="preserve"> </w:t>
      </w:r>
      <w:r>
        <w:t xml:space="preserve">ist für die PH Zug mit vierfachem Leistungsauftrag von besonderer Bedeutung: </w:t>
      </w:r>
      <w:r w:rsidRPr="001F4D3A">
        <w:t xml:space="preserve">Wer lehrt oder forscht, </w:t>
      </w:r>
      <w:r>
        <w:t>soll</w:t>
      </w:r>
      <w:r w:rsidRPr="001F4D3A">
        <w:t xml:space="preserve"> die eingesetzten Mittel und die möglichen Folgen der wissenschaftlichen Arbeit unter ethischen Gesichtspunkten und im Hinblick auf ihre möglichen Auswirkungen auf Mensch und Umwelt</w:t>
      </w:r>
      <w:r>
        <w:t xml:space="preserve"> </w:t>
      </w:r>
      <w:r w:rsidRPr="001F4D3A">
        <w:t>eigenständig</w:t>
      </w:r>
      <w:r>
        <w:t xml:space="preserve"> beurteilen können. In dieser Art umschreibt auch </w:t>
      </w:r>
      <w:r w:rsidR="00F36D86">
        <w:t xml:space="preserve">§ 4 des </w:t>
      </w:r>
      <w:r>
        <w:t>Fachhochschulgesetz</w:t>
      </w:r>
      <w:r w:rsidR="00F36D86">
        <w:t>es</w:t>
      </w:r>
      <w:r>
        <w:t xml:space="preserve"> des Kantons Zürich </w:t>
      </w:r>
      <w:r w:rsidR="00F36D86">
        <w:t>vom 2. April 2007 (FaHG;</w:t>
      </w:r>
      <w:r w:rsidR="00F36D86" w:rsidRPr="00F36D86">
        <w:t xml:space="preserve"> 414.10</w:t>
      </w:r>
      <w:r w:rsidR="00F36D86">
        <w:t xml:space="preserve">) </w:t>
      </w:r>
      <w:r>
        <w:t xml:space="preserve">die Freiheit von Forschung und Lehre. Die Freiheit von Lehre und Forschung </w:t>
      </w:r>
      <w:r w:rsidR="00F36D86">
        <w:t xml:space="preserve">an der PH Zug </w:t>
      </w:r>
      <w:r>
        <w:t>soll künftig im PHG – anstatt wie bisher in der PHV – verankert sein.</w:t>
      </w:r>
    </w:p>
    <w:p w14:paraId="14FC2F03" w14:textId="77777777" w:rsidR="007D06B7" w:rsidRPr="00D136DD" w:rsidRDefault="007D06B7" w:rsidP="007D06B7">
      <w:pPr>
        <w:autoSpaceDE w:val="0"/>
        <w:autoSpaceDN w:val="0"/>
        <w:adjustRightInd w:val="0"/>
        <w:spacing w:line="240" w:lineRule="auto"/>
        <w:rPr>
          <w:rFonts w:cs="Arial"/>
          <w:spacing w:val="0"/>
        </w:rPr>
      </w:pPr>
    </w:p>
    <w:p w14:paraId="29A43C31" w14:textId="77777777" w:rsidR="007D06B7" w:rsidRPr="007E605B" w:rsidRDefault="007D06B7" w:rsidP="007D06B7">
      <w:pPr>
        <w:rPr>
          <w:b/>
          <w:bCs/>
        </w:rPr>
      </w:pPr>
      <w:r w:rsidRPr="007E605B">
        <w:rPr>
          <w:b/>
          <w:bCs/>
        </w:rPr>
        <w:t>§ 2 Leistungsauftrag</w:t>
      </w:r>
    </w:p>
    <w:p w14:paraId="1CA5DCD3" w14:textId="77777777" w:rsidR="007D06B7" w:rsidRPr="001C4EE0" w:rsidRDefault="007D06B7" w:rsidP="006C27A0">
      <w:pPr>
        <w:autoSpaceDE w:val="0"/>
        <w:autoSpaceDN w:val="0"/>
        <w:adjustRightInd w:val="0"/>
        <w:spacing w:before="120"/>
      </w:pPr>
      <w:r w:rsidRPr="001F4D3A">
        <w:t>Die Art («kantonal») des durch den Regierungsrat erteilten Leistungsauftrags (§ 7 Abs. 2 lit. b PHG) gilt es in Abgrenzung zum «vierfachen Leistungsauftrag» (vgl. § 3 Abs. 1 PHG) der PH Zug – gemeint sind hiermit Ausbildung, Weiterbildung, Forschung und Dienstleistungen –</w:t>
      </w:r>
      <w:r>
        <w:t xml:space="preserve"> </w:t>
      </w:r>
      <w:r w:rsidRPr="001F4D3A">
        <w:t xml:space="preserve">zu spezifizieren. </w:t>
      </w:r>
    </w:p>
    <w:p w14:paraId="221546E6" w14:textId="77777777" w:rsidR="007D06B7" w:rsidRPr="005D0992" w:rsidRDefault="007D06B7" w:rsidP="007D06B7">
      <w:pPr>
        <w:rPr>
          <w:b/>
          <w:bCs/>
        </w:rPr>
      </w:pPr>
    </w:p>
    <w:p w14:paraId="254D9A88" w14:textId="77777777" w:rsidR="007D06B7" w:rsidRPr="007E605B" w:rsidRDefault="007D06B7" w:rsidP="007D06B7">
      <w:pPr>
        <w:rPr>
          <w:b/>
          <w:bCs/>
        </w:rPr>
      </w:pPr>
      <w:r w:rsidRPr="007E605B">
        <w:rPr>
          <w:b/>
          <w:bCs/>
        </w:rPr>
        <w:t>§ 3 Grundauftrag</w:t>
      </w:r>
      <w:r>
        <w:rPr>
          <w:b/>
          <w:bCs/>
        </w:rPr>
        <w:t xml:space="preserve"> </w:t>
      </w:r>
    </w:p>
    <w:p w14:paraId="2D2E16FE" w14:textId="28FB6385" w:rsidR="007D06B7" w:rsidRDefault="007D06B7" w:rsidP="006C27A0">
      <w:pPr>
        <w:autoSpaceDE w:val="0"/>
        <w:autoSpaceDN w:val="0"/>
        <w:adjustRightInd w:val="0"/>
        <w:spacing w:before="120" w:after="120"/>
      </w:pPr>
      <w:r w:rsidRPr="001F4D3A">
        <w:t>Für die Hochschulen der Schweiz ist mit dem</w:t>
      </w:r>
      <w:r>
        <w:t xml:space="preserve"> </w:t>
      </w:r>
      <w:r w:rsidR="005B36BC">
        <w:t xml:space="preserve">HFKG </w:t>
      </w:r>
      <w:r w:rsidRPr="001F4D3A">
        <w:t>ein übergreifender Rahmen mit schweizweiten Gremien geschaffen worden. Alle Hochschulen müssen sich einer Akkreditierung nach dem HFKG unterziehen und diese alle sieben Jahre erneuern.</w:t>
      </w:r>
      <w:r>
        <w:t xml:space="preserve"> Das HFKG bildet zusammen mit den </w:t>
      </w:r>
      <w:r w:rsidRPr="0093157C">
        <w:t>EDK-Anerkennungsreglemente</w:t>
      </w:r>
      <w:r>
        <w:t>n</w:t>
      </w:r>
      <w:r w:rsidR="0068213C">
        <w:t xml:space="preserve"> und weiteren Regelungsdokumenten</w:t>
      </w:r>
      <w:r>
        <w:t xml:space="preserve">, auf die im PH-Gesetz bereits verwiesen wird, </w:t>
      </w:r>
      <w:r w:rsidRPr="0093157C">
        <w:t xml:space="preserve">eine wichtige Instanz für die schweizweite Anerkennung der Diplome für Lehrpersonen sowie der Rahmenbedingungen von </w:t>
      </w:r>
      <w:r>
        <w:t>Weiterbildungen</w:t>
      </w:r>
      <w:r w:rsidRPr="0093157C">
        <w:t xml:space="preserve"> (CAS, DAS, MAS) oder die Gestaltung der Titel etc.</w:t>
      </w:r>
      <w:r>
        <w:t xml:space="preserve"> </w:t>
      </w:r>
      <w:r w:rsidR="005824D1">
        <w:t>Dennoch wird auf</w:t>
      </w:r>
      <w:r>
        <w:t xml:space="preserve"> eine Bezugnahme im PHG auf das HFK</w:t>
      </w:r>
      <w:r w:rsidR="005824D1">
        <w:t xml:space="preserve">G </w:t>
      </w:r>
      <w:r>
        <w:t xml:space="preserve">verzichtet, da es sich dabei um übergeordnetes zwingendes Recht handelt. </w:t>
      </w:r>
    </w:p>
    <w:p w14:paraId="5C34E1F8" w14:textId="0CEDF01D" w:rsidR="007D06B7" w:rsidRDefault="007D06B7" w:rsidP="007D06B7">
      <w:pPr>
        <w:autoSpaceDE w:val="0"/>
        <w:autoSpaceDN w:val="0"/>
        <w:adjustRightInd w:val="0"/>
        <w:spacing w:after="120"/>
        <w:rPr>
          <w:strike/>
        </w:rPr>
      </w:pPr>
      <w:r>
        <w:t>Die PH Zug bietet Weiterbildungen – darunter fallen auch Zusatzausbildung</w:t>
      </w:r>
      <w:r w:rsidR="00724F92">
        <w:t>en</w:t>
      </w:r>
      <w:r>
        <w:t xml:space="preserve">, die bislang gesondert aufgeführt wurden, und weitere Kurse – für unterschiedliche Zielgruppen an. Diese sind zwar </w:t>
      </w:r>
      <w:r w:rsidRPr="00AA31B9">
        <w:t>primär auf Lehrpersonen und Mitglieder von Schulleitungen ausgerichtet, beschränken sich aber nicht auf diese Personengruppen. Diesem Umstand soll der neue Gesetzestext Rechnung tragen.</w:t>
      </w:r>
      <w:r>
        <w:rPr>
          <w:strike/>
        </w:rPr>
        <w:t xml:space="preserve"> </w:t>
      </w:r>
    </w:p>
    <w:p w14:paraId="73CDBCCF" w14:textId="03253FFE" w:rsidR="007D06B7" w:rsidRPr="00AA31B9" w:rsidRDefault="007D06B7" w:rsidP="007D06B7">
      <w:pPr>
        <w:autoSpaceDE w:val="0"/>
        <w:autoSpaceDN w:val="0"/>
        <w:adjustRightInd w:val="0"/>
      </w:pPr>
      <w:r>
        <w:t xml:space="preserve">Weiter zu präzisieren ist die Bestimmung bzgl. Dienstleistungen. Diese </w:t>
      </w:r>
      <w:r w:rsidRPr="00AA31B9">
        <w:t xml:space="preserve">erbringt </w:t>
      </w:r>
      <w:r>
        <w:t>die PH Zug</w:t>
      </w:r>
      <w:r w:rsidRPr="00AA31B9">
        <w:t xml:space="preserve"> </w:t>
      </w:r>
      <w:r w:rsidR="001C315D">
        <w:t>«</w:t>
      </w:r>
      <w:r w:rsidRPr="001C315D">
        <w:rPr>
          <w:iCs/>
        </w:rPr>
        <w:t>für</w:t>
      </w:r>
      <w:r w:rsidR="001C315D">
        <w:rPr>
          <w:iCs/>
        </w:rPr>
        <w:t xml:space="preserve">» </w:t>
      </w:r>
      <w:r w:rsidRPr="00AA31B9">
        <w:t xml:space="preserve">Dritte </w:t>
      </w:r>
      <w:r>
        <w:t xml:space="preserve">(nicht </w:t>
      </w:r>
      <w:r w:rsidR="001C315D">
        <w:t>«</w:t>
      </w:r>
      <w:r w:rsidRPr="001C315D">
        <w:rPr>
          <w:iCs/>
        </w:rPr>
        <w:t>im Auftrag</w:t>
      </w:r>
      <w:r>
        <w:t xml:space="preserve"> Dritter</w:t>
      </w:r>
      <w:r w:rsidR="001C315D">
        <w:t>»</w:t>
      </w:r>
      <w:r>
        <w:t xml:space="preserve">) in den Bereichen Schule und Bildung. Beim Vergleich mit anderen PH-/FH-Gesetzen zeigte sich, dass diese Bezeichnung im Hochschulbereich üblich ist. </w:t>
      </w:r>
    </w:p>
    <w:p w14:paraId="36D1499C" w14:textId="77777777" w:rsidR="007D06B7" w:rsidRPr="007E605B" w:rsidRDefault="007D06B7" w:rsidP="007D06B7">
      <w:pPr>
        <w:rPr>
          <w:b/>
          <w:bCs/>
        </w:rPr>
      </w:pPr>
    </w:p>
    <w:p w14:paraId="1601BB9E" w14:textId="77777777" w:rsidR="007D06B7" w:rsidRDefault="007D06B7" w:rsidP="007D06B7">
      <w:pPr>
        <w:rPr>
          <w:b/>
          <w:bCs/>
        </w:rPr>
      </w:pPr>
      <w:r w:rsidRPr="007E605B">
        <w:rPr>
          <w:b/>
          <w:bCs/>
        </w:rPr>
        <w:t>§ 5 Leitbild</w:t>
      </w:r>
      <w:r>
        <w:rPr>
          <w:b/>
          <w:bCs/>
        </w:rPr>
        <w:t xml:space="preserve">, Strategie </w:t>
      </w:r>
      <w:r w:rsidRPr="007E605B">
        <w:rPr>
          <w:b/>
          <w:bCs/>
        </w:rPr>
        <w:t>und Qualitätsmanagement</w:t>
      </w:r>
    </w:p>
    <w:p w14:paraId="5B875CFC" w14:textId="77777777" w:rsidR="007D06B7" w:rsidRDefault="007D06B7" w:rsidP="006C27A0">
      <w:pPr>
        <w:autoSpaceDE w:val="0"/>
        <w:autoSpaceDN w:val="0"/>
        <w:adjustRightInd w:val="0"/>
        <w:spacing w:before="120"/>
      </w:pPr>
      <w:r w:rsidRPr="003D44F2">
        <w:t xml:space="preserve">Die Strategie ist das zentrale Instrument zur Führung der PH Zug und umfasst Schwerpunkte in allen Leistungsbereichen, die in den jährlichen Leistungsaufträgen verankert werden. </w:t>
      </w:r>
      <w:r w:rsidRPr="00CD487D">
        <w:t xml:space="preserve">Leitbild und Strategie 2019–2026 wurden am 15. Mai 2019 durch den </w:t>
      </w:r>
      <w:bookmarkStart w:id="16" w:name="_Hlk64643369"/>
      <w:r>
        <w:t>HSR</w:t>
      </w:r>
      <w:r w:rsidRPr="00CD487D">
        <w:t xml:space="preserve"> </w:t>
      </w:r>
      <w:bookmarkEnd w:id="16"/>
      <w:r w:rsidRPr="00CD487D">
        <w:t>verabschiedet. Die Bezeichnung Strategie wird im geltenden Recht nicht aufgeführt. Sie soll sowohl in den Titel des §</w:t>
      </w:r>
      <w:r>
        <w:t> </w:t>
      </w:r>
      <w:r w:rsidRPr="00CD487D">
        <w:t xml:space="preserve">5 wie auch in den entsprechenden Absatz Eingang finden. </w:t>
      </w:r>
    </w:p>
    <w:p w14:paraId="73071F69" w14:textId="77777777" w:rsidR="007D06B7" w:rsidRPr="00CD487D" w:rsidRDefault="007D06B7" w:rsidP="007D06B7">
      <w:pPr>
        <w:autoSpaceDE w:val="0"/>
        <w:autoSpaceDN w:val="0"/>
        <w:adjustRightInd w:val="0"/>
      </w:pPr>
    </w:p>
    <w:p w14:paraId="734D069D" w14:textId="62AAB3DC" w:rsidR="007D06B7" w:rsidRDefault="0028556C" w:rsidP="0028556C">
      <w:pPr>
        <w:pStyle w:val="berschrift2"/>
        <w:keepLines/>
        <w:numPr>
          <w:ilvl w:val="0"/>
          <w:numId w:val="0"/>
        </w:numPr>
        <w:spacing w:before="0"/>
      </w:pPr>
      <w:r>
        <w:t xml:space="preserve">5.3. </w:t>
      </w:r>
      <w:r w:rsidR="007D06B7">
        <w:t>Organisation</w:t>
      </w:r>
    </w:p>
    <w:p w14:paraId="1168045F" w14:textId="77777777" w:rsidR="009C2EBC" w:rsidRPr="009C2EBC" w:rsidRDefault="009C2EBC" w:rsidP="009C2EBC">
      <w:pPr>
        <w:pStyle w:val="Textkrper"/>
      </w:pPr>
    </w:p>
    <w:p w14:paraId="6D039E75" w14:textId="77777777" w:rsidR="007D06B7" w:rsidRDefault="007D06B7" w:rsidP="007D06B7">
      <w:pPr>
        <w:rPr>
          <w:b/>
          <w:bCs/>
        </w:rPr>
      </w:pPr>
      <w:r w:rsidRPr="007E605B">
        <w:rPr>
          <w:b/>
          <w:bCs/>
        </w:rPr>
        <w:t>§ 6 Kantonsrat</w:t>
      </w:r>
    </w:p>
    <w:p w14:paraId="3EE2DE39" w14:textId="77777777" w:rsidR="007D06B7" w:rsidRDefault="007D06B7" w:rsidP="002674EE">
      <w:pPr>
        <w:autoSpaceDE w:val="0"/>
        <w:autoSpaceDN w:val="0"/>
        <w:adjustRightInd w:val="0"/>
        <w:spacing w:before="120"/>
      </w:pPr>
      <w:r w:rsidRPr="00A42B4F">
        <w:t xml:space="preserve">Diese Bestimmung ist </w:t>
      </w:r>
      <w:r>
        <w:t xml:space="preserve">formal an diejenige des </w:t>
      </w:r>
      <w:r w:rsidRPr="00A42B4F">
        <w:t xml:space="preserve">§ 7 </w:t>
      </w:r>
      <w:r>
        <w:t xml:space="preserve">Abs. 2 lit. a </w:t>
      </w:r>
      <w:r w:rsidRPr="00A42B4F">
        <w:t xml:space="preserve">PHG </w:t>
      </w:r>
      <w:r>
        <w:t>anzugleichen, wo der bestimmte Artikel sowohl vor «</w:t>
      </w:r>
      <w:r w:rsidRPr="00A42B4F">
        <w:t>Jahresrechnung</w:t>
      </w:r>
      <w:r>
        <w:t>»</w:t>
      </w:r>
      <w:r w:rsidRPr="00A42B4F">
        <w:t xml:space="preserve"> </w:t>
      </w:r>
      <w:r>
        <w:t>wie auch vor</w:t>
      </w:r>
      <w:r w:rsidRPr="00A42B4F">
        <w:t xml:space="preserve"> </w:t>
      </w:r>
      <w:r>
        <w:t>«</w:t>
      </w:r>
      <w:r w:rsidRPr="00A42B4F">
        <w:t>Berichterstattung</w:t>
      </w:r>
      <w:r>
        <w:t>» verwendet wird.</w:t>
      </w:r>
    </w:p>
    <w:p w14:paraId="207403F4" w14:textId="77777777" w:rsidR="007D06B7" w:rsidRPr="0093157C" w:rsidRDefault="007D06B7" w:rsidP="007D06B7">
      <w:pPr>
        <w:rPr>
          <w:b/>
          <w:bCs/>
        </w:rPr>
      </w:pPr>
    </w:p>
    <w:p w14:paraId="1DC879EA" w14:textId="77777777" w:rsidR="007D06B7" w:rsidRDefault="007D06B7" w:rsidP="007D06B7">
      <w:pPr>
        <w:rPr>
          <w:b/>
          <w:bCs/>
        </w:rPr>
      </w:pPr>
      <w:r w:rsidRPr="007E605B">
        <w:rPr>
          <w:b/>
          <w:bCs/>
        </w:rPr>
        <w:t>§ 7 Regierungsrat</w:t>
      </w:r>
    </w:p>
    <w:p w14:paraId="2EF9CA6B" w14:textId="77777777" w:rsidR="007D06B7" w:rsidRDefault="007D06B7" w:rsidP="007D06B7">
      <w:pPr>
        <w:spacing w:before="120"/>
      </w:pPr>
      <w:r w:rsidRPr="00A247F9">
        <w:t>Dem Regierungsrat kommt in allen konsultierten Gesetzgebungen eine Aufsichtsfunktion zu.</w:t>
      </w:r>
      <w:r>
        <w:t xml:space="preserve"> </w:t>
      </w:r>
      <w:r w:rsidRPr="007A15B5">
        <w:t>Seine Kompetenzen sind</w:t>
      </w:r>
      <w:r w:rsidRPr="00A247F9">
        <w:t xml:space="preserve"> – wie auch diejenigen des HSR – </w:t>
      </w:r>
      <w:r w:rsidRPr="007A15B5">
        <w:t>in ausgewählten Bereichen zu erweitern</w:t>
      </w:r>
      <w:r>
        <w:t xml:space="preserve"> oder zu konkretisieren</w:t>
      </w:r>
      <w:r w:rsidRPr="00A247F9">
        <w:t xml:space="preserve"> (z.B. Bestätigung von Personalentscheiden und Genehmigung zentraler Dokumente der Hochschule</w:t>
      </w:r>
      <w:r>
        <w:t>).</w:t>
      </w:r>
    </w:p>
    <w:p w14:paraId="3FD73E7E" w14:textId="77777777" w:rsidR="007D06B7" w:rsidRPr="007A15B5" w:rsidRDefault="007D06B7" w:rsidP="007D06B7">
      <w:pPr>
        <w:spacing w:before="120"/>
      </w:pPr>
      <w:r w:rsidRPr="002D31B3">
        <w:t xml:space="preserve">Der </w:t>
      </w:r>
      <w:r>
        <w:t>Regierungsrat</w:t>
      </w:r>
      <w:r w:rsidRPr="002D31B3">
        <w:t xml:space="preserve"> soll die Anstellung der</w:t>
      </w:r>
      <w:r>
        <w:t xml:space="preserve"> Rektorin oder des Rektors</w:t>
      </w:r>
      <w:r w:rsidRPr="002D31B3">
        <w:t xml:space="preserve"> künftig auf Antrag des </w:t>
      </w:r>
      <w:r>
        <w:t>HSR</w:t>
      </w:r>
      <w:r w:rsidRPr="002D31B3">
        <w:t xml:space="preserve"> ge</w:t>
      </w:r>
      <w:r>
        <w:t>neh</w:t>
      </w:r>
      <w:r w:rsidRPr="002D31B3">
        <w:t>migen.</w:t>
      </w:r>
    </w:p>
    <w:p w14:paraId="3F853686" w14:textId="13C699AF" w:rsidR="007D06B7" w:rsidRDefault="007D06B7" w:rsidP="007D06B7">
      <w:pPr>
        <w:spacing w:before="120"/>
      </w:pPr>
      <w:r>
        <w:lastRenderedPageBreak/>
        <w:t xml:space="preserve">Des Weiteren fällt dem Regierungsrat gemäss Antragsentwurf die Genehmigung der Studiengänge der PH Zug zu. </w:t>
      </w:r>
      <w:r w:rsidR="00C95955">
        <w:t xml:space="preserve">In der Praxis wurde dies bereits bis anhin so gehandhabt. Die Anpassung stellt somit lediglich eine terminologische Präzisierung dar. </w:t>
      </w:r>
    </w:p>
    <w:p w14:paraId="748988D8" w14:textId="77777777" w:rsidR="007D06B7" w:rsidRDefault="007D06B7" w:rsidP="007D06B7">
      <w:pPr>
        <w:spacing w:before="120"/>
      </w:pPr>
      <w:r>
        <w:t xml:space="preserve">Die Bestimmung betreffend </w:t>
      </w:r>
      <w:r w:rsidRPr="00CA4C08">
        <w:t>Vereinbarungen</w:t>
      </w:r>
      <w:r>
        <w:t xml:space="preserve">, die der Regierungsrat </w:t>
      </w:r>
      <w:r w:rsidRPr="00CA4C08">
        <w:t xml:space="preserve">mit anderen Kantonen abschliessen </w:t>
      </w:r>
      <w:r>
        <w:t xml:space="preserve">kann, ist aufzuheben. Sie ist </w:t>
      </w:r>
      <w:r>
        <w:rPr>
          <w:lang w:val="de-DE"/>
        </w:rPr>
        <w:t xml:space="preserve">nach Auflösung des Konkordats der Pädagogischen Hochschule Zentralschweiz (PHZ) </w:t>
      </w:r>
      <w:r>
        <w:t xml:space="preserve">als historisch zu qualifizieren. Dazu gesellt sich, dass die hochschulübergeordnete </w:t>
      </w:r>
      <w:r w:rsidRPr="00AE3FD5">
        <w:t xml:space="preserve">Ermächtigung </w:t>
      </w:r>
      <w:r>
        <w:t xml:space="preserve">des </w:t>
      </w:r>
      <w:r w:rsidRPr="00AE3FD5">
        <w:t>Regierungsrat</w:t>
      </w:r>
      <w:r>
        <w:t>s, entsprechende</w:t>
      </w:r>
      <w:r w:rsidRPr="00AE3FD5">
        <w:t xml:space="preserve"> Vereinbarungen </w:t>
      </w:r>
      <w:r w:rsidRPr="00280190">
        <w:t xml:space="preserve">(z.B. über </w:t>
      </w:r>
      <w:r>
        <w:t xml:space="preserve">die </w:t>
      </w:r>
      <w:r w:rsidRPr="00280190">
        <w:t xml:space="preserve">VBK-Entschädigung </w:t>
      </w:r>
      <w:r>
        <w:t>[</w:t>
      </w:r>
      <w:r w:rsidRPr="00280190">
        <w:t>vgl. regionales Schulabkommen</w:t>
      </w:r>
      <w:r>
        <w:t>]</w:t>
      </w:r>
      <w:r w:rsidRPr="00280190">
        <w:t xml:space="preserve"> oder die Zulassung von Lehrpersonen des K</w:t>
      </w:r>
      <w:r>
        <w:t xml:space="preserve">antons </w:t>
      </w:r>
      <w:r w:rsidRPr="00280190">
        <w:t xml:space="preserve">Aargau in das </w:t>
      </w:r>
      <w:r>
        <w:t>Weiterbildungsa</w:t>
      </w:r>
      <w:r w:rsidRPr="00280190">
        <w:t>ngebot der PH Zug</w:t>
      </w:r>
      <w:r>
        <w:t xml:space="preserve">) </w:t>
      </w:r>
      <w:r w:rsidRPr="00AE3FD5">
        <w:t>abzuschliessen</w:t>
      </w:r>
      <w:r>
        <w:t>, nicht im PHG festgeschrieben sein</w:t>
      </w:r>
      <w:r w:rsidRPr="005B2D33">
        <w:t xml:space="preserve"> </w:t>
      </w:r>
      <w:r>
        <w:t>muss</w:t>
      </w:r>
      <w:r w:rsidRPr="00AE3FD5">
        <w:t>.</w:t>
      </w:r>
    </w:p>
    <w:p w14:paraId="5B53C253" w14:textId="77777777" w:rsidR="007D06B7" w:rsidRDefault="007D06B7" w:rsidP="007D06B7">
      <w:pPr>
        <w:spacing w:before="120"/>
      </w:pPr>
      <w:r>
        <w:t>Sämtliche an der PH Zug erhobenen Gebühren werden in einer Gebührenordnung festgehalten. Diese ist durch den Regierungsrat zu erlassen.</w:t>
      </w:r>
    </w:p>
    <w:p w14:paraId="3752CDBC" w14:textId="6447DE85" w:rsidR="007D06B7" w:rsidRDefault="007D06B7" w:rsidP="007D06B7">
      <w:pPr>
        <w:spacing w:before="120"/>
      </w:pPr>
      <w:r w:rsidRPr="007757E5">
        <w:t>Zu ergänzen gilt schliesslich der Erlass der PH-Verordnung durch den Regierungsrat. Zentral sind hierbei besonders die personalrechtlichen Bestimmungen.</w:t>
      </w:r>
    </w:p>
    <w:p w14:paraId="7EAB6821" w14:textId="77777777" w:rsidR="007D06B7" w:rsidRPr="007757E5" w:rsidRDefault="007D06B7" w:rsidP="002674EE"/>
    <w:p w14:paraId="10C6BB18" w14:textId="77777777" w:rsidR="007D06B7" w:rsidRDefault="007D06B7" w:rsidP="007D06B7">
      <w:pPr>
        <w:rPr>
          <w:b/>
          <w:bCs/>
        </w:rPr>
      </w:pPr>
      <w:r w:rsidRPr="007E605B">
        <w:rPr>
          <w:b/>
          <w:bCs/>
        </w:rPr>
        <w:t>§ 8 Direktion für Bildung und Kultur</w:t>
      </w:r>
    </w:p>
    <w:p w14:paraId="330439FF" w14:textId="1FD37DAA" w:rsidR="007D06B7" w:rsidRPr="00E45645" w:rsidRDefault="007D06B7" w:rsidP="007D06B7">
      <w:pPr>
        <w:spacing w:before="120"/>
      </w:pPr>
      <w:r>
        <w:t xml:space="preserve">Die Anstellung bzw. Wahl der weiteren </w:t>
      </w:r>
      <w:r w:rsidRPr="00E45645">
        <w:t xml:space="preserve">Mitglieder der </w:t>
      </w:r>
      <w:r w:rsidR="00965BAA">
        <w:t>HSL</w:t>
      </w:r>
      <w:r>
        <w:t xml:space="preserve"> soll, wie an anderen Pädagogischen Hochschulen, dem HSR</w:t>
      </w:r>
      <w:r w:rsidRPr="00CD487D">
        <w:t xml:space="preserve"> </w:t>
      </w:r>
      <w:r>
        <w:t>(auf Antrag der Rektorin oder des Rektors) zukommen (vgl. dazu § 11 PHG), in welchem die Direktionsvorsteherin oder der Direktionsvorsteher von Amtes wegen vertreten ist</w:t>
      </w:r>
      <w:r w:rsidRPr="00697B60">
        <w:t xml:space="preserve"> </w:t>
      </w:r>
      <w:r>
        <w:t xml:space="preserve">und an dessen Sitzungen die </w:t>
      </w:r>
      <w:r w:rsidRPr="00697B60">
        <w:t>Leite</w:t>
      </w:r>
      <w:r>
        <w:t>r</w:t>
      </w:r>
      <w:r w:rsidRPr="00697B60">
        <w:t xml:space="preserve">in </w:t>
      </w:r>
      <w:r>
        <w:t xml:space="preserve">oder der Leiter </w:t>
      </w:r>
      <w:r w:rsidRPr="00697B60">
        <w:t xml:space="preserve">des für die </w:t>
      </w:r>
      <w:r w:rsidR="00F14E3A">
        <w:t>PH Zug</w:t>
      </w:r>
      <w:r w:rsidRPr="00697B60">
        <w:t xml:space="preserve"> zuständigen Amts der </w:t>
      </w:r>
      <w:r>
        <w:t>DBK mit beratender Stimme teilnimmt.</w:t>
      </w:r>
    </w:p>
    <w:p w14:paraId="4431C0E8" w14:textId="06E402DE" w:rsidR="007D06B7" w:rsidRDefault="007D06B7" w:rsidP="007D06B7">
      <w:pPr>
        <w:spacing w:before="120"/>
      </w:pPr>
      <w:r w:rsidRPr="00E45645">
        <w:t xml:space="preserve">Die </w:t>
      </w:r>
      <w:r w:rsidR="00F14E3A">
        <w:t xml:space="preserve">PH Zug </w:t>
      </w:r>
      <w:r w:rsidRPr="00E45645">
        <w:t xml:space="preserve">ist administrativ der </w:t>
      </w:r>
      <w:r w:rsidRPr="00AA4965">
        <w:t>DBK</w:t>
      </w:r>
      <w:r w:rsidRPr="00E45645">
        <w:t xml:space="preserve"> zugeordnet. </w:t>
      </w:r>
      <w:r w:rsidRPr="00A247F9">
        <w:t xml:space="preserve">Die administrative Anbindung findet ihren Ausdruck in der Genehmigung von bestimmten Regelungsdokumenten. </w:t>
      </w:r>
      <w:r>
        <w:t xml:space="preserve">So genehmigt die DBK etwa </w:t>
      </w:r>
      <w:r w:rsidRPr="00A247F9">
        <w:t>die vom HSR ausgearbeitet</w:t>
      </w:r>
      <w:r>
        <w:t>e</w:t>
      </w:r>
      <w:r w:rsidRPr="00A247F9">
        <w:t xml:space="preserve"> Geschäftsordnung für den HSR. </w:t>
      </w:r>
    </w:p>
    <w:p w14:paraId="10F27056" w14:textId="002C8B7D" w:rsidR="007D06B7" w:rsidRDefault="007D06B7" w:rsidP="007D06B7"/>
    <w:p w14:paraId="3FCC4A9D" w14:textId="2CE1D751" w:rsidR="007D06B7" w:rsidRDefault="007D06B7" w:rsidP="007D06B7">
      <w:pPr>
        <w:rPr>
          <w:b/>
          <w:bCs/>
        </w:rPr>
      </w:pPr>
      <w:r w:rsidRPr="007E605B">
        <w:rPr>
          <w:b/>
          <w:bCs/>
        </w:rPr>
        <w:t xml:space="preserve">§ 10 Zusammensetzung und </w:t>
      </w:r>
      <w:r w:rsidR="005824D1">
        <w:rPr>
          <w:b/>
          <w:bCs/>
        </w:rPr>
        <w:t>Amtsdauer</w:t>
      </w:r>
      <w:r w:rsidRPr="007E605B">
        <w:rPr>
          <w:b/>
          <w:bCs/>
        </w:rPr>
        <w:t xml:space="preserve"> des Hochschulrats</w:t>
      </w:r>
    </w:p>
    <w:p w14:paraId="063C6EA0" w14:textId="27D761AE" w:rsidR="005824D1" w:rsidRDefault="005824D1" w:rsidP="007D06B7">
      <w:pPr>
        <w:spacing w:before="120"/>
      </w:pPr>
      <w:r>
        <w:t>Da die Wahl des Hochschulrats in § 7 Abs. 2 Bst. c geregelt wird</w:t>
      </w:r>
      <w:r w:rsidR="00EC1478">
        <w:t xml:space="preserve"> («Der Regierungsrat wählt die Mitglieder des Hochschulrats und legt ihre Entschädigung fest;»), ist der bisherige Titel von §</w:t>
      </w:r>
      <w:r w:rsidR="00B155C4">
        <w:t> </w:t>
      </w:r>
      <w:r w:rsidR="00EC1478">
        <w:t>10 verwirrlich. Entsprechend wird dieser angepasst und lautet neu: «Zusammensetzung und Amtsdauer des Hochschulrats» anstelle von «Zusammensetzung und Wahl des Hochschulrats».</w:t>
      </w:r>
    </w:p>
    <w:p w14:paraId="1B574BCB" w14:textId="6F0DF9FE" w:rsidR="007D06B7" w:rsidRDefault="007D06B7" w:rsidP="007D06B7">
      <w:pPr>
        <w:spacing w:before="120"/>
      </w:pPr>
      <w:r w:rsidRPr="00A81394">
        <w:t>Ein Vergleich mit anderen Hochschulen zeigt, dass die Mehrheit der</w:t>
      </w:r>
      <w:r>
        <w:t xml:space="preserve"> Räte der Pädagogischen Hochschulen</w:t>
      </w:r>
      <w:r w:rsidRPr="00A81394">
        <w:t>, wie an der PH Zug, durch die Vorsteherin respektive den Vorsteher des Departements für Bildung und Kultur</w:t>
      </w:r>
      <w:r>
        <w:t xml:space="preserve"> (DV DBK)</w:t>
      </w:r>
      <w:r w:rsidRPr="00A81394">
        <w:t xml:space="preserve"> geleitet respektive präsidiert wird. Ausnahmen sind bspw. die PH Graubünden oder die PH Thurgau wie auch die sich über vier Kantone erstreckende PH FHNW. </w:t>
      </w:r>
      <w:r>
        <w:t>Im überschaubaren Kanton Zug stellt das Präsidium durch die/den DV DBK eine Stärkung der PH Zug dar.</w:t>
      </w:r>
    </w:p>
    <w:p w14:paraId="7F036DA7" w14:textId="0E1C63FA" w:rsidR="007D06B7" w:rsidRPr="001A5E1A" w:rsidRDefault="007D06B7" w:rsidP="007D06B7">
      <w:pPr>
        <w:spacing w:before="120"/>
      </w:pPr>
      <w:r w:rsidRPr="001A5E1A">
        <w:t>Mit beratender Stimme nehmen an den Sitzungen des HSR die Rektorin oder der Rektor der PH Zug sowie die Leiterin oder der Leiter des Amts für Mittelschulen und Pädagogische Hochschule («</w:t>
      </w:r>
      <w:r>
        <w:t xml:space="preserve">die </w:t>
      </w:r>
      <w:r w:rsidRPr="001A5E1A">
        <w:t xml:space="preserve">Leiterin oder der Leiter des für die Pädagogische Hochschule Zug zuständigen Amts der Direktion für Bildung und Kultur») teil. </w:t>
      </w:r>
      <w:r w:rsidRPr="00FF6F50">
        <w:t>Ein Benchmark</w:t>
      </w:r>
      <w:r>
        <w:t>ing</w:t>
      </w:r>
      <w:r w:rsidRPr="00FF6F50">
        <w:t xml:space="preserve"> der Rechtsgrundlagen anderer Hochschulen </w:t>
      </w:r>
      <w:r w:rsidRPr="00C4535C">
        <w:rPr>
          <w:rFonts w:cs="Arial"/>
          <w:color w:val="000000"/>
        </w:rPr>
        <w:t xml:space="preserve">zeigt, dass darüber hinaus mindestens eine Vertretung der Dozierenden mit beratender Stimme Einsitz nimmt. Die ZFH als Verbund von grossen Hochschulen lässt mehrere Personal-Vertretungen zu (Dozierende, Studierende, wissenschaftliche Mitarbeitende und übriges Hochschulpersonal). </w:t>
      </w:r>
      <w:r w:rsidRPr="00FF6F50">
        <w:t xml:space="preserve">Die HSL der PH Zug erachtet es auch für die PH Zug als gewinnbringend, zu den HSR-Sitzungen jeweils eine Vertreterin oder einen Vertreter der Dozierenden der PH Zug einzuladen, um die Partizipation der Mitarbeitenden zu gewährleisten. Die Vertretung soll deshalb durch Dozierende erfolgen, weil diese Gruppe von Mitarbeitenden in mehr als </w:t>
      </w:r>
      <w:r w:rsidRPr="00FF6F50">
        <w:lastRenderedPageBreak/>
        <w:t>einem Leistungsbereich und damit im Kerngeschäft der PH Zug tätig ist (z.B. Ausbildung und Forschung</w:t>
      </w:r>
      <w:r>
        <w:t xml:space="preserve"> </w:t>
      </w:r>
      <w:r w:rsidR="00D52672">
        <w:t>und</w:t>
      </w:r>
      <w:r>
        <w:t xml:space="preserve"> Entwicklung</w:t>
      </w:r>
      <w:r w:rsidRPr="00FF6F50">
        <w:t xml:space="preserve"> oder Ausbildung und Weiterbildung/Dienstleistungen).</w:t>
      </w:r>
    </w:p>
    <w:p w14:paraId="4192A7BD" w14:textId="77777777" w:rsidR="007D06B7" w:rsidRDefault="007D06B7" w:rsidP="007D06B7">
      <w:pPr>
        <w:spacing w:before="120"/>
      </w:pPr>
      <w:r w:rsidRPr="0092420E">
        <w:t>Im Sinne einer gelebten Partizipation</w:t>
      </w:r>
      <w:r>
        <w:t xml:space="preserve"> und einer dialogischen Kultur</w:t>
      </w:r>
      <w:r w:rsidRPr="0092420E">
        <w:t xml:space="preserve"> soll diese Ausweitung </w:t>
      </w:r>
      <w:r>
        <w:t>auch bei den</w:t>
      </w:r>
      <w:r w:rsidRPr="0092420E">
        <w:t xml:space="preserve"> Studierende</w:t>
      </w:r>
      <w:r>
        <w:t>n</w:t>
      </w:r>
      <w:r w:rsidRPr="0092420E">
        <w:t xml:space="preserve"> vorgenommen werden.</w:t>
      </w:r>
    </w:p>
    <w:p w14:paraId="3239D21B" w14:textId="47EFE199" w:rsidR="007D06B7" w:rsidRDefault="007D06B7" w:rsidP="007D06B7">
      <w:pPr>
        <w:spacing w:before="120"/>
        <w:rPr>
          <w:lang w:val="de-DE"/>
        </w:rPr>
      </w:pPr>
      <w:r>
        <w:rPr>
          <w:lang w:val="de-DE"/>
        </w:rPr>
        <w:t>Das Wahlverfahren für die vorgeschlagenen Studierenden- und die Mitarbeitendenvertretungen im HSR ist noch festzulegen (</w:t>
      </w:r>
      <w:r w:rsidRPr="003B039C">
        <w:rPr>
          <w:rFonts w:cs="Arial"/>
        </w:rPr>
        <w:t>auf Ebene Verordnung</w:t>
      </w:r>
      <w:r>
        <w:rPr>
          <w:rFonts w:cs="Arial"/>
        </w:rPr>
        <w:t>,</w:t>
      </w:r>
      <w:r w:rsidR="00F14E3A">
        <w:rPr>
          <w:rFonts w:cs="Arial"/>
        </w:rPr>
        <w:t xml:space="preserve"> </w:t>
      </w:r>
      <w:r>
        <w:rPr>
          <w:rFonts w:cs="Arial"/>
        </w:rPr>
        <w:t>z.B</w:t>
      </w:r>
      <w:r w:rsidR="00F14E3A">
        <w:rPr>
          <w:rFonts w:cs="Arial"/>
        </w:rPr>
        <w:t>.</w:t>
      </w:r>
      <w:r>
        <w:rPr>
          <w:rFonts w:cs="Arial"/>
        </w:rPr>
        <w:t xml:space="preserve"> gemäss </w:t>
      </w:r>
      <w:r w:rsidRPr="003B039C">
        <w:rPr>
          <w:rFonts w:cs="Arial"/>
        </w:rPr>
        <w:t>FH-Gesetz</w:t>
      </w:r>
      <w:r w:rsidR="004504E5">
        <w:rPr>
          <w:rFonts w:cs="Arial"/>
        </w:rPr>
        <w:t xml:space="preserve"> bzw. -Verordnung</w:t>
      </w:r>
      <w:r w:rsidRPr="003B039C">
        <w:rPr>
          <w:rFonts w:cs="Arial"/>
        </w:rPr>
        <w:t xml:space="preserve"> </w:t>
      </w:r>
      <w:r>
        <w:rPr>
          <w:rFonts w:cs="Arial"/>
        </w:rPr>
        <w:t>[</w:t>
      </w:r>
      <w:r w:rsidRPr="003B039C">
        <w:rPr>
          <w:rFonts w:cs="Arial"/>
        </w:rPr>
        <w:t>Zürich</w:t>
      </w:r>
      <w:r>
        <w:rPr>
          <w:rFonts w:cs="Arial"/>
        </w:rPr>
        <w:t>]</w:t>
      </w:r>
      <w:r w:rsidRPr="003B039C">
        <w:rPr>
          <w:rFonts w:cs="Arial"/>
        </w:rPr>
        <w:t xml:space="preserve">: Die Gremien </w:t>
      </w:r>
      <w:r>
        <w:rPr>
          <w:rFonts w:cs="Arial"/>
        </w:rPr>
        <w:t>[</w:t>
      </w:r>
      <w:r w:rsidRPr="003B039C">
        <w:rPr>
          <w:rFonts w:cs="Arial"/>
        </w:rPr>
        <w:t>Studierendenorganisation und Mitarbeitendenorganisation</w:t>
      </w:r>
      <w:r>
        <w:rPr>
          <w:rFonts w:cs="Arial"/>
        </w:rPr>
        <w:t>]</w:t>
      </w:r>
      <w:r w:rsidRPr="003B039C">
        <w:rPr>
          <w:rFonts w:cs="Arial"/>
        </w:rPr>
        <w:t xml:space="preserve"> wählen ihre Delegierten selbständig</w:t>
      </w:r>
      <w:r>
        <w:rPr>
          <w:rFonts w:cs="Arial"/>
        </w:rPr>
        <w:t xml:space="preserve">). </w:t>
      </w:r>
      <w:r>
        <w:rPr>
          <w:lang w:val="de-DE"/>
        </w:rPr>
        <w:t xml:space="preserve">Das Anliegen des </w:t>
      </w:r>
      <w:r w:rsidR="000D2678">
        <w:rPr>
          <w:lang w:val="de-DE"/>
        </w:rPr>
        <w:t>HSR</w:t>
      </w:r>
      <w:r>
        <w:rPr>
          <w:lang w:val="de-DE"/>
        </w:rPr>
        <w:t>, die Wahl von einem weiteren Organ (z.B. H</w:t>
      </w:r>
      <w:r w:rsidR="000D2678">
        <w:rPr>
          <w:lang w:val="de-DE"/>
        </w:rPr>
        <w:t>SL</w:t>
      </w:r>
      <w:r>
        <w:rPr>
          <w:lang w:val="de-DE"/>
        </w:rPr>
        <w:t xml:space="preserve">) bestätigen zu lassen, wird bei der konkreten Festlegung des Verfahrens geprüft. Es wird eine </w:t>
      </w:r>
      <w:r w:rsidRPr="00BE1567">
        <w:rPr>
          <w:lang w:val="de-DE"/>
        </w:rPr>
        <w:t xml:space="preserve">Nomination ad personam </w:t>
      </w:r>
      <w:r>
        <w:rPr>
          <w:lang w:val="de-DE"/>
        </w:rPr>
        <w:t>mit möglichst hoher Beständigkeit angestrebt.</w:t>
      </w:r>
    </w:p>
    <w:p w14:paraId="6F3E247B" w14:textId="77777777" w:rsidR="007D06B7" w:rsidRPr="002A3C44" w:rsidRDefault="007D06B7" w:rsidP="007D06B7"/>
    <w:p w14:paraId="3E0A783F" w14:textId="77777777" w:rsidR="007D06B7" w:rsidRDefault="007D06B7" w:rsidP="007D06B7">
      <w:pPr>
        <w:rPr>
          <w:b/>
          <w:bCs/>
        </w:rPr>
      </w:pPr>
      <w:r w:rsidRPr="007E605B">
        <w:rPr>
          <w:b/>
          <w:bCs/>
        </w:rPr>
        <w:t>§ 11 Funktion und Aufgaben des Hochschulrats</w:t>
      </w:r>
    </w:p>
    <w:p w14:paraId="32B3E294" w14:textId="5FAB8EE9" w:rsidR="007D06B7" w:rsidRPr="002674EE" w:rsidRDefault="009367CF" w:rsidP="002674EE">
      <w:pPr>
        <w:spacing w:before="120"/>
      </w:pPr>
      <w:r>
        <w:t>Im schweizweiten PH-/FH-Vergleich zeigen sich teilweise Kompetenzregelungen, die von derjenigen an der PH Zug bzw. im Kanton Zug abweichen. Die Abweichungen betreffen vor allem die Kompetenzen des Hochschul- bzw. Fachhochschulrates. Mit einer Anpassung in vorgenanntem Bereich kann nach Ansicht der HSL für die PH Zug eine transparentere und einfacher umsetzbare Organisationsstruktur erreicht werden. Deshalb werden folgende Kompetenzanpassungen beantragt</w:t>
      </w:r>
      <w:r w:rsidR="007D06B7" w:rsidRPr="002674EE">
        <w:t>:</w:t>
      </w:r>
    </w:p>
    <w:p w14:paraId="3A080B80" w14:textId="2E7D62B0" w:rsidR="007D06B7" w:rsidRPr="00D26483" w:rsidRDefault="007D06B7" w:rsidP="002674EE">
      <w:pPr>
        <w:spacing w:before="120" w:after="120"/>
      </w:pPr>
      <w:r w:rsidRPr="00D26483">
        <w:t xml:space="preserve">Der </w:t>
      </w:r>
      <w:r>
        <w:t>HSR</w:t>
      </w:r>
      <w:r w:rsidRPr="00CD487D">
        <w:t xml:space="preserve"> </w:t>
      </w:r>
      <w:r w:rsidRPr="00D26483">
        <w:t>genehmigt (anstelle von</w:t>
      </w:r>
      <w:r>
        <w:t xml:space="preserve"> </w:t>
      </w:r>
      <w:r w:rsidRPr="00D26483">
        <w:t>«erlässt»</w:t>
      </w:r>
      <w:r>
        <w:t xml:space="preserve">; vgl. dazu </w:t>
      </w:r>
      <w:r w:rsidR="00AE2520">
        <w:t xml:space="preserve">§ 13 Abs. 2 lit. c PHG sowie </w:t>
      </w:r>
      <w:r>
        <w:t>die Ausführungen unter Kap. 2</w:t>
      </w:r>
      <w:r w:rsidRPr="00D26483">
        <w:t xml:space="preserve">) </w:t>
      </w:r>
      <w:r>
        <w:t xml:space="preserve">Strategie und </w:t>
      </w:r>
      <w:r w:rsidRPr="00D26483">
        <w:t>Leitbild</w:t>
      </w:r>
      <w:r>
        <w:t xml:space="preserve"> </w:t>
      </w:r>
      <w:r w:rsidRPr="00D26483">
        <w:t>(vgl. dazu die Ausführungen unter § 5</w:t>
      </w:r>
      <w:r>
        <w:t xml:space="preserve"> PHG</w:t>
      </w:r>
      <w:r w:rsidRPr="00D26483">
        <w:t xml:space="preserve">), </w:t>
      </w:r>
      <w:r>
        <w:t>Qualitätsmanagement und internes Kontrollsystem (gemäss gebräuchlicher Bezeichnung ohne den Zusatz «Konzept»)</w:t>
      </w:r>
      <w:r w:rsidRPr="00D26483">
        <w:t xml:space="preserve">. </w:t>
      </w:r>
    </w:p>
    <w:p w14:paraId="61AE0F21" w14:textId="77A60E7F" w:rsidR="007D06B7" w:rsidRDefault="007D06B7" w:rsidP="007D06B7">
      <w:pPr>
        <w:spacing w:after="120"/>
      </w:pPr>
      <w:r w:rsidRPr="00D26483">
        <w:t xml:space="preserve">Zudem soll </w:t>
      </w:r>
      <w:r>
        <w:t xml:space="preserve">im Rahmen seiner strategischen Aufsicht </w:t>
      </w:r>
      <w:r w:rsidRPr="00D26483">
        <w:t xml:space="preserve">eine Erweiterung der personellen Kompetenzen des HSR erfolgen, indem dieser dem Regierungsrat die </w:t>
      </w:r>
      <w:r w:rsidR="00CC3F6E">
        <w:t>Anstellung</w:t>
      </w:r>
      <w:r w:rsidRPr="00D26483">
        <w:t xml:space="preserve"> der Rektorin </w:t>
      </w:r>
      <w:r>
        <w:t xml:space="preserve">oder des Rektors </w:t>
      </w:r>
      <w:r w:rsidRPr="00D26483">
        <w:t xml:space="preserve">beantragt und die weiteren Mitglieder der </w:t>
      </w:r>
      <w:r>
        <w:t>HSL</w:t>
      </w:r>
      <w:r w:rsidRPr="00D26483">
        <w:t xml:space="preserve"> anstellt. </w:t>
      </w:r>
      <w:r>
        <w:t xml:space="preserve">Die </w:t>
      </w:r>
      <w:r w:rsidRPr="00856197">
        <w:t>Antrag</w:t>
      </w:r>
      <w:r>
        <w:t>stellung</w:t>
      </w:r>
      <w:r w:rsidRPr="00856197">
        <w:t xml:space="preserve"> betreffend alle personalrechtlichen Belange der Mitglieder der </w:t>
      </w:r>
      <w:r>
        <w:t>HSL</w:t>
      </w:r>
      <w:r w:rsidRPr="00856197">
        <w:t xml:space="preserve"> zuhanden des Regierungsrats bzw. der </w:t>
      </w:r>
      <w:r>
        <w:t>DBK wird dadurch hinfällig und kann aufgehoben werden.</w:t>
      </w:r>
    </w:p>
    <w:p w14:paraId="6D8758D3" w14:textId="77777777" w:rsidR="007D06B7" w:rsidRDefault="007D06B7" w:rsidP="007D06B7">
      <w:pPr>
        <w:spacing w:after="120"/>
      </w:pPr>
      <w:r>
        <w:t xml:space="preserve">Zu ergänzen sind dagegen die </w:t>
      </w:r>
      <w:r w:rsidRPr="00856197">
        <w:t>Antrag</w:t>
      </w:r>
      <w:r>
        <w:t xml:space="preserve">stellung des HSR </w:t>
      </w:r>
      <w:r w:rsidRPr="00856197">
        <w:t>an den Regierungsrat zur Genehmigung von Studiengängen</w:t>
      </w:r>
      <w:r>
        <w:t xml:space="preserve"> sowie die Antragstellung an die DBK </w:t>
      </w:r>
      <w:r w:rsidRPr="00856197">
        <w:t>zur Genehmigung seiner Geschäftsordnung</w:t>
      </w:r>
      <w:r>
        <w:t xml:space="preserve"> und des Studienreglements.</w:t>
      </w:r>
    </w:p>
    <w:p w14:paraId="7C678FCF" w14:textId="77777777" w:rsidR="007D06B7" w:rsidRPr="00856197" w:rsidRDefault="007D06B7" w:rsidP="007D06B7">
      <w:pPr>
        <w:spacing w:after="120"/>
      </w:pPr>
      <w:r>
        <w:t xml:space="preserve">Neben dem Erlass des Organisationsreglements der PH Zug </w:t>
      </w:r>
      <w:r w:rsidRPr="00D26483">
        <w:t xml:space="preserve">fällt dem </w:t>
      </w:r>
      <w:r>
        <w:t>HSR</w:t>
      </w:r>
      <w:r w:rsidRPr="00CD487D">
        <w:t xml:space="preserve"> </w:t>
      </w:r>
      <w:r w:rsidRPr="00D26483">
        <w:t>auch der im Gesetz bislang fehlende Erlass des Reglements über die Verleihung des Titels Professorin oder Professor an der PH Zug zu. Diese Kompetenz ist deshalb neu in das PH</w:t>
      </w:r>
      <w:r>
        <w:t>-Gesetz</w:t>
      </w:r>
      <w:r w:rsidRPr="00D26483">
        <w:t xml:space="preserve"> aufzunehmen. </w:t>
      </w:r>
    </w:p>
    <w:p w14:paraId="2C04ED77" w14:textId="77777777" w:rsidR="007D06B7" w:rsidRDefault="007D06B7" w:rsidP="007D06B7">
      <w:r>
        <w:t>Weiter beantragt der HSR</w:t>
      </w:r>
      <w:r w:rsidRPr="00CD487D">
        <w:t xml:space="preserve"> </w:t>
      </w:r>
      <w:r>
        <w:t xml:space="preserve">dem </w:t>
      </w:r>
      <w:r w:rsidRPr="00D26483">
        <w:t xml:space="preserve">Regierungsrat </w:t>
      </w:r>
      <w:r>
        <w:t xml:space="preserve">die Gebührenordnung, wobei es sich nicht nur um den </w:t>
      </w:r>
      <w:r w:rsidRPr="00D26483">
        <w:t xml:space="preserve">Erlass </w:t>
      </w:r>
      <w:r>
        <w:t>besonderer</w:t>
      </w:r>
      <w:r w:rsidRPr="00D26483">
        <w:t xml:space="preserve"> Bestimmungen betreffend Gebühren </w:t>
      </w:r>
      <w:r>
        <w:t>handelt. Der Zusatz «besonderen» soll daher entfallen.</w:t>
      </w:r>
    </w:p>
    <w:p w14:paraId="5416AC0C" w14:textId="77777777" w:rsidR="007D06B7" w:rsidRDefault="007D06B7" w:rsidP="007D06B7">
      <w:pPr>
        <w:spacing w:line="240" w:lineRule="auto"/>
        <w:rPr>
          <w:rFonts w:cs="Arial"/>
        </w:rPr>
      </w:pPr>
    </w:p>
    <w:p w14:paraId="04D31C95" w14:textId="77777777" w:rsidR="007D06B7" w:rsidRDefault="007D06B7" w:rsidP="007D06B7">
      <w:pPr>
        <w:rPr>
          <w:b/>
          <w:bCs/>
        </w:rPr>
      </w:pPr>
      <w:r w:rsidRPr="007E605B">
        <w:rPr>
          <w:b/>
          <w:bCs/>
        </w:rPr>
        <w:t>§ 12 Zusammensetzung der Hochschulleitung</w:t>
      </w:r>
    </w:p>
    <w:p w14:paraId="31FC39E6" w14:textId="08A1755C" w:rsidR="007D06B7" w:rsidRPr="00133B0D" w:rsidRDefault="007D06B7" w:rsidP="002674EE">
      <w:pPr>
        <w:spacing w:before="120" w:after="120"/>
      </w:pPr>
      <w:r w:rsidRPr="00D05DD0">
        <w:t xml:space="preserve">An anderen Hochschulen bildet </w:t>
      </w:r>
      <w:r>
        <w:t xml:space="preserve">die </w:t>
      </w:r>
      <w:r w:rsidRPr="00D05DD0">
        <w:t xml:space="preserve">Rektorin </w:t>
      </w:r>
      <w:r>
        <w:t xml:space="preserve">oder der Rektor </w:t>
      </w:r>
      <w:r w:rsidRPr="00D05DD0">
        <w:t>ebenfalls ein Organ</w:t>
      </w:r>
      <w:r>
        <w:t xml:space="preserve">. </w:t>
      </w:r>
      <w:r w:rsidRPr="00D05DD0">
        <w:t>Die HSL der PH Zug hat darauf verzichtet und hält damit am Bild einer «Hochschulleitung» als Entscheidungsgremium fest.</w:t>
      </w:r>
      <w:r>
        <w:t xml:space="preserve"> </w:t>
      </w:r>
      <w:r w:rsidRPr="00C4535C">
        <w:rPr>
          <w:rFonts w:cs="Arial"/>
          <w:color w:val="000000"/>
        </w:rPr>
        <w:t>Die HSL, bestehend aus drei Personen (Rektorin oder Rektor, Leiterin oder Leiter Ausbildung als Prorektorin oder Prorektor</w:t>
      </w:r>
      <w:r>
        <w:rPr>
          <w:rFonts w:cs="Arial"/>
          <w:color w:val="000000"/>
        </w:rPr>
        <w:t xml:space="preserve"> und</w:t>
      </w:r>
      <w:r w:rsidRPr="00C4535C">
        <w:rPr>
          <w:rFonts w:cs="Arial"/>
          <w:color w:val="000000"/>
        </w:rPr>
        <w:t xml:space="preserve"> Leiterin oder Leiter Verwaltung) ist bisher schmal aufgestellt. </w:t>
      </w:r>
      <w:r>
        <w:t>Sie</w:t>
      </w:r>
      <w:r w:rsidRPr="00C4557E">
        <w:t xml:space="preserve"> soll </w:t>
      </w:r>
      <w:r>
        <w:t xml:space="preserve">künftig </w:t>
      </w:r>
      <w:r w:rsidRPr="00C4557E">
        <w:t xml:space="preserve">breiter abgestützt sein, weshalb </w:t>
      </w:r>
      <w:r>
        <w:t xml:space="preserve">beabsichtigt wird, </w:t>
      </w:r>
      <w:r w:rsidRPr="00C4557E">
        <w:t xml:space="preserve">neu die </w:t>
      </w:r>
      <w:r>
        <w:t>Leitenden</w:t>
      </w:r>
      <w:r w:rsidRPr="00C4557E">
        <w:t xml:space="preserve"> der weiteren Leistungsbereiche (Weiterbildung</w:t>
      </w:r>
      <w:r>
        <w:t xml:space="preserve"> und </w:t>
      </w:r>
      <w:r w:rsidRPr="00C4557E">
        <w:t xml:space="preserve">Dienstleistungen </w:t>
      </w:r>
      <w:r>
        <w:t xml:space="preserve">sowie </w:t>
      </w:r>
      <w:r w:rsidRPr="00C4557E">
        <w:t>Forschung und Entwicklung) ein</w:t>
      </w:r>
      <w:r>
        <w:t>zubeziehen</w:t>
      </w:r>
      <w:r w:rsidRPr="00C4557E">
        <w:t xml:space="preserve">. </w:t>
      </w:r>
      <w:r>
        <w:t>Aufgrund</w:t>
      </w:r>
      <w:r w:rsidRPr="00E4170B">
        <w:t xml:space="preserve"> der Verbreiterung der </w:t>
      </w:r>
      <w:r w:rsidR="000D2678">
        <w:t>HSL</w:t>
      </w:r>
      <w:r w:rsidRPr="00E4170B">
        <w:t xml:space="preserve"> </w:t>
      </w:r>
      <w:r>
        <w:t xml:space="preserve">soll </w:t>
      </w:r>
      <w:r w:rsidRPr="00E4170B">
        <w:t xml:space="preserve">gesetzlich </w:t>
      </w:r>
      <w:r>
        <w:t>nicht mehr festgelegt sein</w:t>
      </w:r>
      <w:r w:rsidRPr="00E4170B">
        <w:t xml:space="preserve">, dass </w:t>
      </w:r>
      <w:r>
        <w:t xml:space="preserve">die Funktion der </w:t>
      </w:r>
      <w:r w:rsidRPr="00E4170B">
        <w:t>Prorektor</w:t>
      </w:r>
      <w:r>
        <w:t>in bzw. des Prorektors</w:t>
      </w:r>
      <w:r w:rsidRPr="00E4170B">
        <w:t xml:space="preserve"> (und damit </w:t>
      </w:r>
      <w:r>
        <w:t>die Stellvertretung der</w:t>
      </w:r>
      <w:r w:rsidRPr="00E4170B">
        <w:t xml:space="preserve"> Rektori</w:t>
      </w:r>
      <w:r>
        <w:t xml:space="preserve">n oder </w:t>
      </w:r>
      <w:r w:rsidRPr="00E4170B">
        <w:t xml:space="preserve">des Rektors) </w:t>
      </w:r>
      <w:r>
        <w:t>per se der</w:t>
      </w:r>
      <w:r w:rsidRPr="00E4170B">
        <w:t xml:space="preserve"> Leiter</w:t>
      </w:r>
      <w:r>
        <w:t xml:space="preserve">in oder dem Leiter </w:t>
      </w:r>
      <w:r w:rsidRPr="00E4170B">
        <w:t xml:space="preserve">Ausbildung </w:t>
      </w:r>
      <w:r>
        <w:t>zukommt</w:t>
      </w:r>
      <w:r w:rsidRPr="00E4170B">
        <w:t xml:space="preserve">. </w:t>
      </w:r>
      <w:r>
        <w:t>Die</w:t>
      </w:r>
      <w:r w:rsidRPr="00E4170B">
        <w:t xml:space="preserve"> Rektor</w:t>
      </w:r>
      <w:r>
        <w:t xml:space="preserve">in oder </w:t>
      </w:r>
      <w:r w:rsidRPr="00E4170B">
        <w:t xml:space="preserve">der Rektor </w:t>
      </w:r>
      <w:r>
        <w:t>soll künftig ihre respektive</w:t>
      </w:r>
      <w:r w:rsidRPr="00E4170B">
        <w:t xml:space="preserve"> seine Stellvertret</w:t>
      </w:r>
      <w:r>
        <w:t xml:space="preserve">ung </w:t>
      </w:r>
      <w:r>
        <w:lastRenderedPageBreak/>
        <w:t xml:space="preserve">und damit die Prorektorin oder den Prorektor </w:t>
      </w:r>
      <w:r w:rsidRPr="00E4170B">
        <w:t xml:space="preserve">aus dem Kreis der Leitenden der </w:t>
      </w:r>
      <w:r w:rsidRPr="00133B0D">
        <w:t>Leistungsbereiche (Ausbildung, Weiterbildung, Forschung und Entwicklung</w:t>
      </w:r>
      <w:r>
        <w:t xml:space="preserve"> und</w:t>
      </w:r>
      <w:r w:rsidRPr="00133B0D">
        <w:t xml:space="preserve"> Dienstleistungen)</w:t>
      </w:r>
      <w:r>
        <w:t xml:space="preserve"> ernennen können. </w:t>
      </w:r>
    </w:p>
    <w:p w14:paraId="3446081E" w14:textId="3B6C3A5D" w:rsidR="007D06B7" w:rsidRDefault="007D06B7" w:rsidP="007D06B7">
      <w:r w:rsidRPr="00C4557E">
        <w:t xml:space="preserve">Auch </w:t>
      </w:r>
      <w:r>
        <w:t>wird beantragt</w:t>
      </w:r>
      <w:r w:rsidRPr="00C4557E">
        <w:t xml:space="preserve">, weitere Personen als Mitglieder der </w:t>
      </w:r>
      <w:r>
        <w:t>HSL</w:t>
      </w:r>
      <w:r w:rsidRPr="00C4557E">
        <w:t xml:space="preserve"> </w:t>
      </w:r>
      <w:r>
        <w:t xml:space="preserve">mit beratender Stimme </w:t>
      </w:r>
      <w:r w:rsidRPr="00C4557E">
        <w:t>bestimmen</w:t>
      </w:r>
      <w:r>
        <w:t xml:space="preserve"> zu können</w:t>
      </w:r>
      <w:r w:rsidRPr="00C4557E">
        <w:t xml:space="preserve">. </w:t>
      </w:r>
      <w:r w:rsidRPr="00C4535C">
        <w:rPr>
          <w:rFonts w:cs="Arial"/>
          <w:color w:val="000000"/>
        </w:rPr>
        <w:t>Auf diese Weise sichert sich bspw. auch die PH Luzern eine gewisse Flexibilität b</w:t>
      </w:r>
      <w:r>
        <w:rPr>
          <w:rFonts w:cs="Arial"/>
          <w:color w:val="000000"/>
        </w:rPr>
        <w:t>ezüglich der</w:t>
      </w:r>
      <w:r w:rsidRPr="00C4535C">
        <w:rPr>
          <w:rFonts w:cs="Arial"/>
          <w:color w:val="000000"/>
        </w:rPr>
        <w:t xml:space="preserve"> Zusammensetzung der H</w:t>
      </w:r>
      <w:r w:rsidR="00F6252A">
        <w:rPr>
          <w:rFonts w:cs="Arial"/>
          <w:color w:val="000000"/>
        </w:rPr>
        <w:t>ochschulleitung</w:t>
      </w:r>
      <w:r w:rsidRPr="00C4535C">
        <w:rPr>
          <w:rFonts w:cs="Arial"/>
          <w:color w:val="000000"/>
        </w:rPr>
        <w:t xml:space="preserve">. </w:t>
      </w:r>
      <w:r w:rsidRPr="00C4557E">
        <w:t xml:space="preserve">Hierfür wird eine flexible Formulierung mit möglicher Verankerung im Organisationsreglement der PH Zug </w:t>
      </w:r>
      <w:r w:rsidRPr="00C4535C">
        <w:rPr>
          <w:rFonts w:cs="Arial"/>
          <w:color w:val="000000"/>
        </w:rPr>
        <w:t xml:space="preserve">(Verabschiedung HSR) </w:t>
      </w:r>
      <w:r w:rsidRPr="00C4557E">
        <w:t xml:space="preserve">vorgeschlagen. </w:t>
      </w:r>
    </w:p>
    <w:p w14:paraId="7DB23F63" w14:textId="77777777" w:rsidR="007D06B7" w:rsidRPr="004E0F49" w:rsidRDefault="007D06B7" w:rsidP="007D06B7">
      <w:pPr>
        <w:spacing w:line="240" w:lineRule="auto"/>
        <w:rPr>
          <w:rFonts w:cs="Arial"/>
        </w:rPr>
      </w:pPr>
    </w:p>
    <w:p w14:paraId="3A36A6A9" w14:textId="77777777" w:rsidR="007D06B7" w:rsidRDefault="007D06B7" w:rsidP="007D06B7">
      <w:pPr>
        <w:rPr>
          <w:b/>
          <w:bCs/>
        </w:rPr>
      </w:pPr>
      <w:r w:rsidRPr="007E605B">
        <w:rPr>
          <w:b/>
          <w:bCs/>
        </w:rPr>
        <w:t>§ 13 Funktion und Aufgaben der Hochschulleitung</w:t>
      </w:r>
    </w:p>
    <w:p w14:paraId="5DA4783C" w14:textId="4207DC4C" w:rsidR="007D06B7" w:rsidRDefault="007D06B7" w:rsidP="002674EE">
      <w:pPr>
        <w:spacing w:before="120" w:after="120"/>
      </w:pPr>
      <w:r w:rsidRPr="00420538">
        <w:t>Die HSL wirkt bei der Erarbeitung der Strategie der PH Zug (anstelle derjenigen des HSR) mit und setzt diese um.</w:t>
      </w:r>
    </w:p>
    <w:p w14:paraId="09A583A5" w14:textId="0FBCE4C7" w:rsidR="007D06B7" w:rsidRDefault="007D06B7" w:rsidP="007D06B7">
      <w:pPr>
        <w:spacing w:after="120"/>
      </w:pPr>
      <w:r>
        <w:t xml:space="preserve">Unter den Kompetenzen der HSL ist bei der Antragstellung </w:t>
      </w:r>
      <w:r w:rsidRPr="001D2040">
        <w:t>zur Genehmigung des Leitbilds</w:t>
      </w:r>
      <w:r>
        <w:t xml:space="preserve"> wiederum</w:t>
      </w:r>
      <w:r w:rsidRPr="001D2040">
        <w:t xml:space="preserve"> </w:t>
      </w:r>
      <w:r w:rsidRPr="0020624F">
        <w:t>die Strategie zu ergänzen (vgl. dazu die Ausführungen unter §</w:t>
      </w:r>
      <w:r>
        <w:t>§</w:t>
      </w:r>
      <w:r w:rsidRPr="0020624F">
        <w:t xml:space="preserve"> 5 und 11</w:t>
      </w:r>
      <w:r>
        <w:t xml:space="preserve"> PHG</w:t>
      </w:r>
      <w:r w:rsidRPr="0020624F">
        <w:t>)</w:t>
      </w:r>
      <w:r>
        <w:t xml:space="preserve">. In Zusammenhang mit der Antragstellung </w:t>
      </w:r>
      <w:r w:rsidRPr="001D2040">
        <w:t>zur Genehmigung des Qualitätsmanagement</w:t>
      </w:r>
      <w:r>
        <w:t>s</w:t>
      </w:r>
      <w:r w:rsidRPr="001D2040">
        <w:t xml:space="preserve"> </w:t>
      </w:r>
      <w:r>
        <w:t>(gemäss gebräuchlicher Bezeichnung ohne den Zusatz «Konzept»; vgl. dazu auch § 11 Abs. 2 lit. b PHG) fehlt die Erwähnung</w:t>
      </w:r>
      <w:r w:rsidRPr="0020624F">
        <w:t xml:space="preserve"> des internen Kontrollsystems (vgl. § 11 Abs. 2 lit. b</w:t>
      </w:r>
      <w:r>
        <w:t xml:space="preserve"> PHG</w:t>
      </w:r>
      <w:r w:rsidRPr="0020624F">
        <w:t>)</w:t>
      </w:r>
      <w:r>
        <w:t xml:space="preserve">. Sodann ist die Bestimmung um die Antragstellung </w:t>
      </w:r>
      <w:r w:rsidRPr="001D2040">
        <w:t xml:space="preserve">zur Genehmigung </w:t>
      </w:r>
      <w:r w:rsidRPr="0020624F">
        <w:t>des Organisationsreglements</w:t>
      </w:r>
      <w:r>
        <w:t xml:space="preserve"> zu erweitern (vgl. § 11 Abs. 2 lit. </w:t>
      </w:r>
      <w:r w:rsidRPr="00696A80">
        <w:t>c3</w:t>
      </w:r>
      <w:r>
        <w:t xml:space="preserve"> und d PHG). </w:t>
      </w:r>
    </w:p>
    <w:p w14:paraId="2DB80F5C" w14:textId="77777777" w:rsidR="007D06B7" w:rsidRDefault="007D06B7" w:rsidP="007D06B7">
      <w:pPr>
        <w:spacing w:after="120"/>
      </w:pPr>
      <w:r w:rsidRPr="0020624F">
        <w:t>Gleiches gilt in Bezug auf die Antragstellung zur Verleihung von Professorinnen- und Professorentitel</w:t>
      </w:r>
      <w:r>
        <w:t>n</w:t>
      </w:r>
      <w:r w:rsidRPr="0020624F">
        <w:t xml:space="preserve"> (vgl. § 11 Abs. 2 lit. f</w:t>
      </w:r>
      <w:r>
        <w:t xml:space="preserve"> PHG</w:t>
      </w:r>
      <w:r w:rsidRPr="0020624F">
        <w:t>).</w:t>
      </w:r>
    </w:p>
    <w:p w14:paraId="0931FBAA" w14:textId="439441DF" w:rsidR="007D06B7" w:rsidRPr="006440BC" w:rsidRDefault="007D06B7" w:rsidP="006C27A0">
      <w:pPr>
        <w:spacing w:after="120"/>
      </w:pPr>
      <w:r>
        <w:t xml:space="preserve">Gemäss § 8 und § 11 PHG liegt die </w:t>
      </w:r>
      <w:r w:rsidRPr="00382438">
        <w:t>Genehmigung</w:t>
      </w:r>
      <w:r>
        <w:t xml:space="preserve"> des Studienreglements bei der </w:t>
      </w:r>
      <w:r w:rsidR="00F6252A">
        <w:t>DBK</w:t>
      </w:r>
      <w:r>
        <w:t>, der H</w:t>
      </w:r>
      <w:r w:rsidR="00F6252A">
        <w:t>SR</w:t>
      </w:r>
      <w:r>
        <w:t xml:space="preserve"> erlässt jedoch das Studienreglement und beantragt die Genehmigung bei der DBK. Deshalb soll in § 13 Abs. 2 der Buchstabe c2 neu aufgenommen werden.</w:t>
      </w:r>
    </w:p>
    <w:p w14:paraId="5D9067EC" w14:textId="57BD0190" w:rsidR="007D06B7" w:rsidRPr="00C4535C" w:rsidRDefault="007D06B7" w:rsidP="00685573">
      <w:pPr>
        <w:pStyle w:val="TableContents"/>
        <w:spacing w:after="120" w:line="280" w:lineRule="atLeast"/>
        <w:rPr>
          <w:rFonts w:eastAsia="Calibri"/>
          <w:spacing w:val="6"/>
          <w:szCs w:val="22"/>
          <w:lang w:eastAsia="en-US"/>
        </w:rPr>
      </w:pPr>
      <w:r w:rsidRPr="00C4535C">
        <w:rPr>
          <w:rFonts w:eastAsia="Calibri"/>
          <w:spacing w:val="6"/>
          <w:szCs w:val="22"/>
          <w:lang w:eastAsia="en-US"/>
        </w:rPr>
        <w:t>Der HSL obliegt auch der Erlass der zur Erfüllung ihrer Aufgaben erforderlichen Weisungen. Hier ist der Wortlaut unverändert zu lassen. Es sei indes anzumerken, dass der Begriff der Weisungen weit zu verstehen ist. Die H</w:t>
      </w:r>
      <w:r w:rsidR="002A4DB2">
        <w:rPr>
          <w:rFonts w:eastAsia="Calibri"/>
          <w:spacing w:val="6"/>
          <w:szCs w:val="22"/>
          <w:lang w:eastAsia="en-US"/>
        </w:rPr>
        <w:t>SL</w:t>
      </w:r>
      <w:r w:rsidRPr="00C4535C">
        <w:rPr>
          <w:rFonts w:eastAsia="Calibri"/>
          <w:spacing w:val="6"/>
          <w:szCs w:val="22"/>
          <w:lang w:eastAsia="en-US"/>
        </w:rPr>
        <w:t xml:space="preserve"> kann zur Sicherstellung der innerbetrieblichen Führung etwa entsprechende Regelungen erlassen. </w:t>
      </w:r>
    </w:p>
    <w:p w14:paraId="07EFA74C" w14:textId="77777777" w:rsidR="007D06B7" w:rsidRPr="006440BC" w:rsidRDefault="007D06B7" w:rsidP="007D06B7">
      <w:pPr>
        <w:spacing w:after="120"/>
      </w:pPr>
      <w:r>
        <w:t xml:space="preserve">Zur Bearbeitung der Fälle hinsichtlich </w:t>
      </w:r>
      <w:r w:rsidRPr="00FD0F2E">
        <w:t xml:space="preserve">Verweigerung der Zulassung zum Studium sowie Ausschluss vom Studium und vom Vorbereitungskurs </w:t>
      </w:r>
      <w:r>
        <w:t>wird die vergrösserte HSL einen Ausschuss von drei Personen unter der Leitung der Rektorin oder des Rektors einsetzen. § 13 Abs. 2      lit. i PHG soll daher bestehen bleiben.</w:t>
      </w:r>
    </w:p>
    <w:p w14:paraId="0FF1CAEE" w14:textId="1BD90059" w:rsidR="007D06B7" w:rsidRDefault="007D06B7" w:rsidP="002674EE">
      <w:r w:rsidRPr="006440BC">
        <w:t>Die HSL genehmigt nicht nur die Geschäftsordnung</w:t>
      </w:r>
      <w:r>
        <w:t xml:space="preserve"> </w:t>
      </w:r>
      <w:r w:rsidRPr="006440BC">
        <w:t>der Studierendenorganisation</w:t>
      </w:r>
      <w:r w:rsidR="00484569">
        <w:t xml:space="preserve"> (StudOrg)</w:t>
      </w:r>
      <w:r w:rsidRPr="006440BC">
        <w:t xml:space="preserve">, sondern auch diejenige der </w:t>
      </w:r>
      <w:r w:rsidRPr="008D0CAE">
        <w:t>Mitarbeitendenorganisation</w:t>
      </w:r>
      <w:r w:rsidR="00484569">
        <w:t xml:space="preserve"> (MO)</w:t>
      </w:r>
      <w:r w:rsidRPr="006440BC">
        <w:t>.</w:t>
      </w:r>
      <w:r w:rsidRPr="008D0CAE">
        <w:t xml:space="preserve"> </w:t>
      </w:r>
    </w:p>
    <w:p w14:paraId="4A02C867" w14:textId="77777777" w:rsidR="002674EE" w:rsidRDefault="002674EE" w:rsidP="002674EE"/>
    <w:p w14:paraId="67CEFD3E" w14:textId="6ADD9327" w:rsidR="007D06B7" w:rsidRDefault="0028556C" w:rsidP="0028556C">
      <w:pPr>
        <w:pStyle w:val="berschrift2"/>
        <w:keepLines/>
        <w:numPr>
          <w:ilvl w:val="0"/>
          <w:numId w:val="0"/>
        </w:numPr>
        <w:spacing w:before="0"/>
      </w:pPr>
      <w:r>
        <w:t xml:space="preserve">5.4. </w:t>
      </w:r>
      <w:r w:rsidR="007D06B7" w:rsidRPr="002A3C44">
        <w:t>Finanzen</w:t>
      </w:r>
    </w:p>
    <w:p w14:paraId="4C8AD398" w14:textId="77777777" w:rsidR="009C2EBC" w:rsidRPr="009C2EBC" w:rsidRDefault="009C2EBC" w:rsidP="009C2EBC">
      <w:pPr>
        <w:pStyle w:val="Textkrper"/>
      </w:pPr>
    </w:p>
    <w:p w14:paraId="0AD62DF6" w14:textId="77777777" w:rsidR="007D06B7" w:rsidRDefault="007D06B7" w:rsidP="007D06B7">
      <w:pPr>
        <w:rPr>
          <w:b/>
          <w:bCs/>
        </w:rPr>
      </w:pPr>
      <w:r w:rsidRPr="007E605B">
        <w:rPr>
          <w:b/>
          <w:bCs/>
        </w:rPr>
        <w:t xml:space="preserve">§ 16 Finanzierung </w:t>
      </w:r>
    </w:p>
    <w:p w14:paraId="55ADE233" w14:textId="3614CE9E" w:rsidR="007D06B7" w:rsidRPr="00C4535C" w:rsidRDefault="007D06B7" w:rsidP="002674EE">
      <w:pPr>
        <w:spacing w:before="120"/>
        <w:rPr>
          <w:rFonts w:cs="Arial"/>
          <w:color w:val="000000"/>
        </w:rPr>
      </w:pPr>
      <w:r w:rsidRPr="00C4535C">
        <w:rPr>
          <w:rFonts w:cs="Arial"/>
          <w:color w:val="000000"/>
        </w:rPr>
        <w:t>Die Reservebildung der PH Zug ist im PH-Vergleich eher tief: Die PH Graubünden kann 12</w:t>
      </w:r>
      <w:r>
        <w:rPr>
          <w:rFonts w:cs="Arial"/>
          <w:color w:val="000000"/>
        </w:rPr>
        <w:t xml:space="preserve"> </w:t>
      </w:r>
      <w:r w:rsidRPr="00C4535C">
        <w:rPr>
          <w:rFonts w:cs="Arial"/>
          <w:color w:val="000000"/>
        </w:rPr>
        <w:t>% des Bruttoaufwands, die PH Luzern 10</w:t>
      </w:r>
      <w:r>
        <w:rPr>
          <w:rFonts w:cs="Arial"/>
          <w:color w:val="000000"/>
        </w:rPr>
        <w:t xml:space="preserve"> </w:t>
      </w:r>
      <w:r w:rsidRPr="00C4535C">
        <w:rPr>
          <w:rFonts w:cs="Arial"/>
          <w:color w:val="000000"/>
        </w:rPr>
        <w:t>% des Bruttoaufwands und die PH Schwyz 5</w:t>
      </w:r>
      <w:r>
        <w:rPr>
          <w:rFonts w:cs="Arial"/>
          <w:color w:val="000000"/>
        </w:rPr>
        <w:t xml:space="preserve"> </w:t>
      </w:r>
      <w:r w:rsidRPr="00C4535C">
        <w:rPr>
          <w:rFonts w:cs="Arial"/>
          <w:color w:val="000000"/>
        </w:rPr>
        <w:t>% des Bruttoaufwands äufnen.</w:t>
      </w:r>
      <w:r w:rsidRPr="006443DB">
        <w:t xml:space="preserve"> </w:t>
      </w:r>
      <w:r w:rsidRPr="00866BB8">
        <w:t>Mit 10</w:t>
      </w:r>
      <w:r>
        <w:t xml:space="preserve"> </w:t>
      </w:r>
      <w:r w:rsidRPr="00866BB8">
        <w:t>% des Bruttoaufwands</w:t>
      </w:r>
      <w:r w:rsidR="00BD064B">
        <w:t xml:space="preserve"> gemäss Globalbudget (Total Aufwand)</w:t>
      </w:r>
      <w:r w:rsidRPr="00866BB8">
        <w:t xml:space="preserve"> kann die PH Zug mehr Reserven bilden (</w:t>
      </w:r>
      <w:r w:rsidR="00BD064B">
        <w:t xml:space="preserve">von heute </w:t>
      </w:r>
      <w:r w:rsidRPr="00866BB8">
        <w:t>ca.</w:t>
      </w:r>
      <w:r w:rsidR="00BD064B">
        <w:t xml:space="preserve"> 1 Mio. Franken auf neu</w:t>
      </w:r>
      <w:r w:rsidRPr="00866BB8">
        <w:t xml:space="preserve"> 2</w:t>
      </w:r>
      <w:r w:rsidR="00BD064B">
        <w:t>.2</w:t>
      </w:r>
      <w:r w:rsidRPr="00866BB8">
        <w:t xml:space="preserve"> Mio.</w:t>
      </w:r>
      <w:r w:rsidR="00BD064B">
        <w:t xml:space="preserve"> Franken)</w:t>
      </w:r>
      <w:r w:rsidRPr="00866BB8">
        <w:t>.</w:t>
      </w:r>
      <w:r w:rsidRPr="00C4535C">
        <w:rPr>
          <w:rFonts w:cs="Arial"/>
          <w:color w:val="000000"/>
        </w:rPr>
        <w:t xml:space="preserve"> Mit einer grösseren Reservebildung </w:t>
      </w:r>
      <w:r w:rsidR="00BD064B">
        <w:rPr>
          <w:rFonts w:cs="Arial"/>
          <w:color w:val="000000"/>
        </w:rPr>
        <w:t>wird</w:t>
      </w:r>
      <w:r w:rsidRPr="00C4535C">
        <w:rPr>
          <w:rFonts w:cs="Arial"/>
          <w:color w:val="000000"/>
        </w:rPr>
        <w:t xml:space="preserve"> </w:t>
      </w:r>
      <w:r w:rsidR="00BD064B">
        <w:rPr>
          <w:rFonts w:cs="Arial"/>
          <w:color w:val="000000"/>
        </w:rPr>
        <w:t>die</w:t>
      </w:r>
      <w:r w:rsidR="00BD064B" w:rsidRPr="00C4535C">
        <w:rPr>
          <w:rFonts w:cs="Arial"/>
          <w:color w:val="000000"/>
        </w:rPr>
        <w:t xml:space="preserve"> </w:t>
      </w:r>
      <w:r w:rsidRPr="00C4535C">
        <w:rPr>
          <w:rFonts w:cs="Arial"/>
          <w:color w:val="000000"/>
        </w:rPr>
        <w:t xml:space="preserve">längerfristige Planung </w:t>
      </w:r>
      <w:r w:rsidR="00BD064B">
        <w:rPr>
          <w:rFonts w:cs="Arial"/>
          <w:color w:val="000000"/>
        </w:rPr>
        <w:t>erleichtert</w:t>
      </w:r>
      <w:r w:rsidRPr="00C4535C">
        <w:rPr>
          <w:rFonts w:cs="Arial"/>
          <w:color w:val="000000"/>
        </w:rPr>
        <w:t>.</w:t>
      </w:r>
    </w:p>
    <w:p w14:paraId="0ACBA256" w14:textId="77777777" w:rsidR="007D06B7" w:rsidRPr="00267112" w:rsidRDefault="007D06B7" w:rsidP="007D06B7">
      <w:pPr>
        <w:rPr>
          <w:b/>
          <w:bCs/>
        </w:rPr>
      </w:pPr>
    </w:p>
    <w:p w14:paraId="411F6E9F" w14:textId="77777777" w:rsidR="007D06B7" w:rsidRDefault="007D06B7" w:rsidP="007D06B7">
      <w:pPr>
        <w:rPr>
          <w:b/>
          <w:bCs/>
        </w:rPr>
      </w:pPr>
      <w:r w:rsidRPr="007E605B">
        <w:rPr>
          <w:b/>
          <w:bCs/>
        </w:rPr>
        <w:t>§ 17 Gebührenerhebung</w:t>
      </w:r>
    </w:p>
    <w:p w14:paraId="6DE39822" w14:textId="77777777" w:rsidR="007D06B7" w:rsidRPr="009005AB" w:rsidRDefault="007D06B7" w:rsidP="002674EE">
      <w:pPr>
        <w:spacing w:before="120" w:after="120"/>
      </w:pPr>
      <w:r w:rsidRPr="009005AB">
        <w:t xml:space="preserve">Mit der Ergänzung </w:t>
      </w:r>
      <w:r>
        <w:t>von</w:t>
      </w:r>
      <w:r w:rsidRPr="009005AB">
        <w:t xml:space="preserve"> «für» im Absatz </w:t>
      </w:r>
      <w:r>
        <w:t>1</w:t>
      </w:r>
      <w:r w:rsidRPr="009005AB">
        <w:t xml:space="preserve"> und </w:t>
      </w:r>
      <w:r>
        <w:t xml:space="preserve">entsprechender </w:t>
      </w:r>
      <w:r w:rsidRPr="009005AB">
        <w:t xml:space="preserve">Löschung in allen untergeordneten Bestimmungen soll zunächst eine </w:t>
      </w:r>
      <w:r>
        <w:t>formale</w:t>
      </w:r>
      <w:r w:rsidRPr="009005AB">
        <w:t xml:space="preserve"> Anpassung erfolgen. </w:t>
      </w:r>
    </w:p>
    <w:p w14:paraId="4F505067" w14:textId="77777777" w:rsidR="007D06B7" w:rsidRPr="00A761C1" w:rsidRDefault="007D06B7" w:rsidP="007D06B7">
      <w:pPr>
        <w:spacing w:after="120"/>
      </w:pPr>
      <w:r w:rsidRPr="00A761C1">
        <w:lastRenderedPageBreak/>
        <w:t xml:space="preserve">Der Begriff «Weiterbildungsangebote» umfasst auch </w:t>
      </w:r>
      <w:r>
        <w:t xml:space="preserve">die </w:t>
      </w:r>
      <w:r w:rsidRPr="00A761C1">
        <w:t>Zusatzausbildungen</w:t>
      </w:r>
      <w:r>
        <w:t xml:space="preserve"> (vormals: </w:t>
      </w:r>
      <w:r w:rsidRPr="00A761C1">
        <w:t>Nachdiplomstudien</w:t>
      </w:r>
      <w:r>
        <w:t>)</w:t>
      </w:r>
      <w:r w:rsidRPr="00A761C1">
        <w:t xml:space="preserve"> und weitere Kurse.</w:t>
      </w:r>
      <w:r>
        <w:t xml:space="preserve"> Daher sollen die weiteren Bezeichnungen entfallen. </w:t>
      </w:r>
      <w:r w:rsidRPr="009005AB">
        <w:t xml:space="preserve">Es werden auch für Weiterbildungen Gebühren erhoben, die nicht auf Lehrpersonen (sondern z.B. auf Schulleitende oder andere Zielgruppen) ausgerichtet sind (vgl. hierzu auch die Ausführungen unter </w:t>
      </w:r>
      <w:r>
        <w:t xml:space="preserve">Kap. 2 und </w:t>
      </w:r>
      <w:r w:rsidRPr="009005AB">
        <w:t>§ 3). Daher ist die Bestimmung weiter zu fassen.</w:t>
      </w:r>
    </w:p>
    <w:p w14:paraId="57296997" w14:textId="77777777" w:rsidR="007D06B7" w:rsidRPr="009005AB" w:rsidRDefault="007D06B7" w:rsidP="007D06B7">
      <w:pPr>
        <w:spacing w:after="120"/>
      </w:pPr>
      <w:r>
        <w:t xml:space="preserve">Eine weitere notwendige materielle Anpassung besteht darin, dass sich die </w:t>
      </w:r>
      <w:r w:rsidRPr="009005AB">
        <w:t xml:space="preserve">Benützung des Studienangebots </w:t>
      </w:r>
      <w:r>
        <w:t xml:space="preserve">als </w:t>
      </w:r>
      <w:r w:rsidRPr="009005AB">
        <w:t>Hörer</w:t>
      </w:r>
      <w:r>
        <w:t>i</w:t>
      </w:r>
      <w:r w:rsidRPr="009005AB">
        <w:t>n</w:t>
      </w:r>
      <w:r>
        <w:t xml:space="preserve"> oder Hörer auf den Leistungsbereich </w:t>
      </w:r>
      <w:r w:rsidRPr="009005AB">
        <w:t>Ausbildung</w:t>
      </w:r>
      <w:r w:rsidRPr="00E8119A">
        <w:t xml:space="preserve"> </w:t>
      </w:r>
      <w:r>
        <w:t>beschränkt.</w:t>
      </w:r>
    </w:p>
    <w:p w14:paraId="166587DD" w14:textId="77777777" w:rsidR="007D06B7" w:rsidRPr="009005AB" w:rsidRDefault="007D06B7" w:rsidP="007D06B7"/>
    <w:p w14:paraId="5019D62B" w14:textId="77777777" w:rsidR="007D06B7" w:rsidRDefault="007D06B7" w:rsidP="002674EE">
      <w:pPr>
        <w:spacing w:after="120"/>
        <w:rPr>
          <w:b/>
          <w:bCs/>
        </w:rPr>
      </w:pPr>
      <w:r w:rsidRPr="007E605B">
        <w:rPr>
          <w:b/>
          <w:bCs/>
        </w:rPr>
        <w:t>§ 1</w:t>
      </w:r>
      <w:r>
        <w:rPr>
          <w:b/>
          <w:bCs/>
        </w:rPr>
        <w:t>8 Gebührenbemessung</w:t>
      </w:r>
    </w:p>
    <w:p w14:paraId="0A3A01E5" w14:textId="77777777" w:rsidR="007D06B7" w:rsidRDefault="007D06B7" w:rsidP="007D06B7">
      <w:pPr>
        <w:spacing w:after="120"/>
      </w:pPr>
      <w:r>
        <w:t>Die Notwendigkeit der Konkurrenzfähigkeit wird von Absatz 2 in Absatz 1 verschoben, da es sich dabei um einen allgemeinen Grundsatz der Gebührenbemessung handelt.</w:t>
      </w:r>
    </w:p>
    <w:p w14:paraId="6E677299" w14:textId="77777777" w:rsidR="007D06B7" w:rsidRDefault="007D06B7" w:rsidP="007D06B7">
      <w:pPr>
        <w:spacing w:after="120"/>
      </w:pPr>
      <w:r w:rsidRPr="002867F2">
        <w:t>In Abs</w:t>
      </w:r>
      <w:r>
        <w:t xml:space="preserve">atz </w:t>
      </w:r>
      <w:r w:rsidRPr="002867F2">
        <w:t xml:space="preserve">2 werden zu viele ganz </w:t>
      </w:r>
      <w:r>
        <w:t>verschiedene</w:t>
      </w:r>
      <w:r w:rsidRPr="002867F2">
        <w:t xml:space="preserve"> Gebühren mit je unterschiedlichen Anforderungen an Deckungsbeiträge</w:t>
      </w:r>
      <w:r>
        <w:t>n</w:t>
      </w:r>
      <w:r w:rsidRPr="002867F2">
        <w:t xml:space="preserve"> vermengt (z.B. die zum Vollkostenpreis angebotenen Zusatzausbildungen im Vergleich zu eher symbolischen Beiträgen von Hörer</w:t>
      </w:r>
      <w:r>
        <w:t>i</w:t>
      </w:r>
      <w:r w:rsidRPr="002867F2">
        <w:t>nnen</w:t>
      </w:r>
      <w:r>
        <w:t xml:space="preserve"> und Hörern</w:t>
      </w:r>
      <w:r w:rsidRPr="002867F2">
        <w:t xml:space="preserve">). </w:t>
      </w:r>
      <w:r>
        <w:t>Die Anpassung</w:t>
      </w:r>
      <w:r w:rsidRPr="002867F2">
        <w:t xml:space="preserve"> ermöglicht den nötigen Handlungsspielraum für die Weiterbildung</w:t>
      </w:r>
      <w:r>
        <w:t>.</w:t>
      </w:r>
      <w:r w:rsidRPr="002867F2">
        <w:t xml:space="preserve"> </w:t>
      </w:r>
      <w:r>
        <w:t xml:space="preserve">Wie bereits bei der Erstellung des geltenden PH-Gesetzes festgehalten, gilt für Leistungen der Forschung und Entwicklung sowie Dienstleistungen, dass ihnen ein Vertragsverhältnis zu Grunde liegt. Dieses regelt auch die finanzielle Abgeltung. </w:t>
      </w:r>
    </w:p>
    <w:p w14:paraId="67D9F66C" w14:textId="1C80D9DA" w:rsidR="006C27A0" w:rsidRDefault="006C27A0" w:rsidP="006C27A0"/>
    <w:p w14:paraId="2FCF89C4" w14:textId="651DDC6F" w:rsidR="007D06B7" w:rsidRDefault="0028556C" w:rsidP="0028556C">
      <w:pPr>
        <w:pStyle w:val="berschrift2"/>
        <w:keepLines/>
        <w:numPr>
          <w:ilvl w:val="0"/>
          <w:numId w:val="0"/>
        </w:numPr>
        <w:spacing w:before="0"/>
      </w:pPr>
      <w:r>
        <w:t xml:space="preserve">5.5. </w:t>
      </w:r>
      <w:r w:rsidR="007D06B7" w:rsidRPr="00E827AA">
        <w:t>Hochschulpersonal</w:t>
      </w:r>
    </w:p>
    <w:p w14:paraId="458C46E6" w14:textId="77777777" w:rsidR="009C2EBC" w:rsidRPr="009C2EBC" w:rsidRDefault="009C2EBC" w:rsidP="009C2EBC">
      <w:pPr>
        <w:pStyle w:val="Textkrper"/>
      </w:pPr>
    </w:p>
    <w:p w14:paraId="47E4F9B2" w14:textId="1E570646" w:rsidR="007D06B7" w:rsidRDefault="007D06B7" w:rsidP="007D06B7">
      <w:pPr>
        <w:rPr>
          <w:b/>
          <w:bCs/>
        </w:rPr>
      </w:pPr>
      <w:r w:rsidRPr="00C764E1">
        <w:rPr>
          <w:b/>
          <w:bCs/>
        </w:rPr>
        <w:t>§ 20</w:t>
      </w:r>
      <w:r>
        <w:rPr>
          <w:b/>
          <w:bCs/>
        </w:rPr>
        <w:t>a</w:t>
      </w:r>
      <w:r w:rsidRPr="00C764E1">
        <w:rPr>
          <w:b/>
          <w:bCs/>
        </w:rPr>
        <w:t xml:space="preserve"> Hochschulpersonal</w:t>
      </w:r>
    </w:p>
    <w:p w14:paraId="364C052B" w14:textId="77777777" w:rsidR="007D06B7" w:rsidRPr="00332DD3" w:rsidRDefault="007D06B7" w:rsidP="002674EE">
      <w:pPr>
        <w:spacing w:before="120" w:after="120"/>
      </w:pPr>
      <w:r>
        <w:t>W</w:t>
      </w:r>
      <w:r w:rsidRPr="00332DD3">
        <w:t xml:space="preserve">ie </w:t>
      </w:r>
      <w:r>
        <w:t>für PH-/FH-Gesetze</w:t>
      </w:r>
      <w:r w:rsidRPr="00332DD3">
        <w:t xml:space="preserve"> üblich, </w:t>
      </w:r>
      <w:r>
        <w:t>soll das</w:t>
      </w:r>
      <w:r w:rsidRPr="00332DD3">
        <w:t xml:space="preserve"> Hochschulpersonal hier in groben </w:t>
      </w:r>
      <w:r>
        <w:t>«</w:t>
      </w:r>
      <w:r w:rsidRPr="00332DD3">
        <w:t>Kategorien</w:t>
      </w:r>
      <w:r>
        <w:t>»</w:t>
      </w:r>
      <w:r w:rsidRPr="00332DD3">
        <w:t xml:space="preserve"> definiert werden</w:t>
      </w:r>
      <w:r>
        <w:t xml:space="preserve">, um </w:t>
      </w:r>
      <w:r w:rsidRPr="00332DD3">
        <w:t>Unterschied</w:t>
      </w:r>
      <w:r>
        <w:t>e</w:t>
      </w:r>
      <w:r w:rsidRPr="00332DD3">
        <w:t xml:space="preserve"> zum Verwaltungspersonal im Personalgesetz oder zu den dort genannten Lehrpersonen der kant</w:t>
      </w:r>
      <w:r>
        <w:t xml:space="preserve">onalen </w:t>
      </w:r>
      <w:r w:rsidRPr="00332DD3">
        <w:t>Schulen</w:t>
      </w:r>
      <w:r>
        <w:t xml:space="preserve"> deutlich zu machen und somit den hochschulspezifischen Anforderungen gerecht zu werden</w:t>
      </w:r>
      <w:r w:rsidRPr="00332DD3">
        <w:t xml:space="preserve">. </w:t>
      </w:r>
      <w:r>
        <w:t xml:space="preserve">Um auf den nicht-abschliessenden Charakter dieser Auflistung hinzuweisen, erscheint es zentral, diese Bestimmung mit der Möglichkeit des </w:t>
      </w:r>
      <w:r w:rsidRPr="005623DD">
        <w:t>Regierungsrat</w:t>
      </w:r>
      <w:r>
        <w:t>s zu ergänzen, bei Bedarf</w:t>
      </w:r>
      <w:r w:rsidRPr="005623DD">
        <w:t xml:space="preserve"> weitere Personalkategorien bilden</w:t>
      </w:r>
      <w:r>
        <w:t xml:space="preserve"> zu können</w:t>
      </w:r>
      <w:r w:rsidRPr="005623DD">
        <w:t>.</w:t>
      </w:r>
    </w:p>
    <w:p w14:paraId="1D6F24DB" w14:textId="1FE22E89" w:rsidR="007D06B7" w:rsidRDefault="007D06B7" w:rsidP="007D06B7">
      <w:r>
        <w:t>Weiter soll der</w:t>
      </w:r>
      <w:r w:rsidRPr="00332DD3">
        <w:t xml:space="preserve"> </w:t>
      </w:r>
      <w:r>
        <w:t xml:space="preserve">zentrale, bislang in der </w:t>
      </w:r>
      <w:r w:rsidRPr="00332DD3">
        <w:t>PH</w:t>
      </w:r>
      <w:r>
        <w:t>-</w:t>
      </w:r>
      <w:r w:rsidRPr="00332DD3">
        <w:t>V</w:t>
      </w:r>
      <w:r>
        <w:t>erordnung (</w:t>
      </w:r>
      <w:r w:rsidRPr="00332DD3">
        <w:t>§ 6 PHV</w:t>
      </w:r>
      <w:r>
        <w:t xml:space="preserve">) verankerte </w:t>
      </w:r>
      <w:r w:rsidRPr="00332DD3">
        <w:t xml:space="preserve">Passus </w:t>
      </w:r>
      <w:r>
        <w:t>zur grundsätzlichen Unterstellung des Hochschulpersonals unter das kantonale Personalrecht in das</w:t>
      </w:r>
      <w:r w:rsidRPr="00332DD3">
        <w:t xml:space="preserve"> PH</w:t>
      </w:r>
      <w:r>
        <w:t>-</w:t>
      </w:r>
      <w:r w:rsidRPr="00332DD3">
        <w:t>G</w:t>
      </w:r>
      <w:r>
        <w:t>esetz</w:t>
      </w:r>
      <w:r w:rsidRPr="00332DD3">
        <w:t xml:space="preserve"> </w:t>
      </w:r>
      <w:r>
        <w:t>integriert</w:t>
      </w:r>
      <w:r w:rsidRPr="00332DD3">
        <w:t xml:space="preserve"> werden</w:t>
      </w:r>
      <w:r>
        <w:t>.</w:t>
      </w:r>
    </w:p>
    <w:p w14:paraId="432013CA" w14:textId="559F974E" w:rsidR="008C4077" w:rsidRDefault="008C4077" w:rsidP="007D06B7"/>
    <w:p w14:paraId="4F13EC11" w14:textId="296B1E6F" w:rsidR="008C4077" w:rsidRDefault="008C4077" w:rsidP="008C4077">
      <w:pPr>
        <w:rPr>
          <w:rFonts w:cs="Arial"/>
        </w:rPr>
      </w:pPr>
      <w:r w:rsidRPr="00343966">
        <w:rPr>
          <w:rFonts w:cs="Arial"/>
        </w:rPr>
        <w:t xml:space="preserve">In der Verordnung </w:t>
      </w:r>
      <w:r>
        <w:rPr>
          <w:rFonts w:cs="Arial"/>
        </w:rPr>
        <w:t>ist</w:t>
      </w:r>
      <w:r w:rsidRPr="00343966">
        <w:rPr>
          <w:rFonts w:cs="Arial"/>
        </w:rPr>
        <w:t xml:space="preserve"> dann zu präzisieren, </w:t>
      </w:r>
      <w:r w:rsidRPr="008C4077">
        <w:rPr>
          <w:rFonts w:cs="Arial"/>
          <w:iCs/>
        </w:rPr>
        <w:t>dass das</w:t>
      </w:r>
      <w:r>
        <w:rPr>
          <w:rFonts w:cs="Arial"/>
          <w:iCs/>
        </w:rPr>
        <w:t xml:space="preserve"> in den Buchstaben</w:t>
      </w:r>
      <w:r w:rsidRPr="008C4077">
        <w:rPr>
          <w:rFonts w:cs="Arial"/>
          <w:iCs/>
        </w:rPr>
        <w:t xml:space="preserve"> b. bis d.</w:t>
      </w:r>
      <w:r>
        <w:rPr>
          <w:rFonts w:cs="Arial"/>
          <w:iCs/>
        </w:rPr>
        <w:t xml:space="preserve"> aufgeführte Personal</w:t>
      </w:r>
      <w:r w:rsidRPr="008C4077">
        <w:rPr>
          <w:rFonts w:cs="Arial"/>
          <w:iCs/>
        </w:rPr>
        <w:t xml:space="preserve"> den vierfachen Auftrag der PH Zug (Ausbildung, Weiterbildung, Forschung und Entwicklung sowie Dienstleistungen) erbringt</w:t>
      </w:r>
      <w:r w:rsidRPr="008C4077">
        <w:rPr>
          <w:rFonts w:cs="Arial"/>
        </w:rPr>
        <w:t>.</w:t>
      </w:r>
      <w:r w:rsidRPr="00343966">
        <w:rPr>
          <w:rFonts w:cs="Arial"/>
        </w:rPr>
        <w:t xml:space="preserve"> Für dieses gelten besondere Bestimmungen, bspw. im Bereich der Zeiterfassung (Jahresarbeitszeitmodell</w:t>
      </w:r>
      <w:r>
        <w:rPr>
          <w:rFonts w:cs="Arial"/>
        </w:rPr>
        <w:t xml:space="preserve"> mit Stundenkontingenten bzw. Pauschalen</w:t>
      </w:r>
      <w:r w:rsidRPr="00343966">
        <w:rPr>
          <w:rFonts w:cs="Arial"/>
        </w:rPr>
        <w:t>).</w:t>
      </w:r>
      <w:r>
        <w:rPr>
          <w:rFonts w:cs="Arial"/>
        </w:rPr>
        <w:t xml:space="preserve"> </w:t>
      </w:r>
    </w:p>
    <w:p w14:paraId="667C7150" w14:textId="59100004" w:rsidR="008C4077" w:rsidRPr="00CE4868" w:rsidRDefault="008C4077" w:rsidP="008C4077">
      <w:pPr>
        <w:rPr>
          <w:color w:val="FF0000"/>
        </w:rPr>
      </w:pPr>
      <w:r>
        <w:rPr>
          <w:rFonts w:cs="Arial"/>
        </w:rPr>
        <w:t>Das Personal unter Buchstabe e. umfasst Mitarbeitende</w:t>
      </w:r>
      <w:r w:rsidR="00CE4868">
        <w:rPr>
          <w:rFonts w:cs="Arial"/>
        </w:rPr>
        <w:t xml:space="preserve">, die in </w:t>
      </w:r>
      <w:r w:rsidR="00CE4868" w:rsidRPr="00E35401">
        <w:rPr>
          <w:rFonts w:cs="Arial"/>
          <w:iCs/>
        </w:rPr>
        <w:t>Verwaltung und Stäben</w:t>
      </w:r>
      <w:r w:rsidR="00CE4868">
        <w:rPr>
          <w:rFonts w:cs="Arial"/>
        </w:rPr>
        <w:t xml:space="preserve"> tätig sind</w:t>
      </w:r>
      <w:r>
        <w:rPr>
          <w:rFonts w:cs="Arial"/>
        </w:rPr>
        <w:t xml:space="preserve">. Dazu gehören Mitarbeitende </w:t>
      </w:r>
      <w:r w:rsidR="00CE4868">
        <w:rPr>
          <w:rFonts w:cs="Arial"/>
        </w:rPr>
        <w:t xml:space="preserve">von </w:t>
      </w:r>
      <w:r>
        <w:rPr>
          <w:rFonts w:cs="Arial"/>
        </w:rPr>
        <w:t>HR, ICT</w:t>
      </w:r>
      <w:r w:rsidR="00CE4868">
        <w:rPr>
          <w:rFonts w:cs="Arial"/>
        </w:rPr>
        <w:t xml:space="preserve"> oder </w:t>
      </w:r>
      <w:r>
        <w:rPr>
          <w:rFonts w:cs="Arial"/>
        </w:rPr>
        <w:t xml:space="preserve">Finanzen, der </w:t>
      </w:r>
      <w:r w:rsidR="00CE4868">
        <w:rPr>
          <w:rFonts w:cs="Arial"/>
        </w:rPr>
        <w:t xml:space="preserve">Administration in den </w:t>
      </w:r>
      <w:r>
        <w:rPr>
          <w:rFonts w:cs="Arial"/>
        </w:rPr>
        <w:t>Leistungsbereiche</w:t>
      </w:r>
      <w:r w:rsidR="00CE4868">
        <w:rPr>
          <w:rFonts w:cs="Arial"/>
        </w:rPr>
        <w:t>n</w:t>
      </w:r>
      <w:r>
        <w:rPr>
          <w:rFonts w:cs="Arial"/>
        </w:rPr>
        <w:t xml:space="preserve"> (Kanzlei / Studierendenadministration, Administration Weiterbildung </w:t>
      </w:r>
      <w:r w:rsidR="00CE4868">
        <w:rPr>
          <w:rFonts w:cs="Arial"/>
        </w:rPr>
        <w:t>etc.</w:t>
      </w:r>
      <w:r>
        <w:rPr>
          <w:rFonts w:cs="Arial"/>
        </w:rPr>
        <w:t>) sowie de</w:t>
      </w:r>
      <w:r w:rsidR="00CE4868">
        <w:rPr>
          <w:rFonts w:cs="Arial"/>
        </w:rPr>
        <w:t xml:space="preserve">r Stäbe </w:t>
      </w:r>
      <w:r>
        <w:rPr>
          <w:rFonts w:cs="Arial"/>
        </w:rPr>
        <w:t>(insbes. Rektorat</w:t>
      </w:r>
      <w:r w:rsidR="00CE4868">
        <w:rPr>
          <w:rFonts w:cs="Arial"/>
        </w:rPr>
        <w:t xml:space="preserve"> und Prorektorat</w:t>
      </w:r>
      <w:r>
        <w:rPr>
          <w:rFonts w:cs="Arial"/>
        </w:rPr>
        <w:t xml:space="preserve">) oder der Mediothek. Diese Personen werden nach den kantonalen Regelungen gemäss </w:t>
      </w:r>
      <w:r w:rsidR="00FE10C3">
        <w:rPr>
          <w:rFonts w:cs="Arial"/>
        </w:rPr>
        <w:t xml:space="preserve">der Verordnung über die Referenzfunktionen, den Einreihungsplan und die Lohneinreihung (Lohneinreihungsverordnung, </w:t>
      </w:r>
      <w:r>
        <w:rPr>
          <w:rFonts w:cs="Arial"/>
        </w:rPr>
        <w:t>LEVO</w:t>
      </w:r>
      <w:r w:rsidR="00FE10C3">
        <w:rPr>
          <w:rFonts w:cs="Arial"/>
        </w:rPr>
        <w:t>) vom 22. November 2022</w:t>
      </w:r>
      <w:r>
        <w:rPr>
          <w:rFonts w:cs="Arial"/>
        </w:rPr>
        <w:t xml:space="preserve"> eingereiht.</w:t>
      </w:r>
      <w:r w:rsidR="00CE4868">
        <w:rPr>
          <w:rFonts w:cs="Arial"/>
        </w:rPr>
        <w:t xml:space="preserve"> </w:t>
      </w:r>
    </w:p>
    <w:p w14:paraId="4BE59E0E" w14:textId="77777777" w:rsidR="007D06B7" w:rsidRDefault="007D06B7" w:rsidP="007D06B7">
      <w:pPr>
        <w:rPr>
          <w:b/>
          <w:bCs/>
        </w:rPr>
      </w:pPr>
    </w:p>
    <w:p w14:paraId="42ED5747" w14:textId="6A1AB4EB" w:rsidR="007D06B7" w:rsidRPr="008C5F28" w:rsidRDefault="007D06B7" w:rsidP="007D06B7">
      <w:pPr>
        <w:pStyle w:val="TableContents"/>
        <w:rPr>
          <w:u w:val="single"/>
        </w:rPr>
      </w:pPr>
      <w:r w:rsidRPr="007E605B">
        <w:rPr>
          <w:b/>
          <w:bCs/>
        </w:rPr>
        <w:t>§ 21</w:t>
      </w:r>
      <w:r w:rsidR="00382438">
        <w:rPr>
          <w:b/>
          <w:bCs/>
        </w:rPr>
        <w:t>a</w:t>
      </w:r>
      <w:r w:rsidRPr="007E605B">
        <w:rPr>
          <w:b/>
          <w:bCs/>
        </w:rPr>
        <w:t xml:space="preserve"> </w:t>
      </w:r>
      <w:r w:rsidR="00382438">
        <w:rPr>
          <w:b/>
          <w:bCs/>
        </w:rPr>
        <w:t>Referenzfunktionen, Einreihungsplan und Lohneinreihung</w:t>
      </w:r>
    </w:p>
    <w:p w14:paraId="16813FF7" w14:textId="1CA0B3F3" w:rsidR="009F2897" w:rsidRDefault="007D06B7" w:rsidP="009F2897">
      <w:pPr>
        <w:spacing w:before="120" w:after="120"/>
      </w:pPr>
      <w:r>
        <w:t>Die Bestimmung zu den Gehaltsklassen (Einreihungen) einzelner Funktionsgruppen ist gemäss Anpassungen im kantonalen Projekt «Anstellungsbedingungen» aufzuheben</w:t>
      </w:r>
      <w:r w:rsidR="004713EE">
        <w:t xml:space="preserve"> und die Lohnklassen </w:t>
      </w:r>
      <w:r w:rsidR="009F2897">
        <w:t xml:space="preserve">sind </w:t>
      </w:r>
      <w:r w:rsidR="004713EE">
        <w:t>neu in der PHV zu regeln</w:t>
      </w:r>
      <w:r>
        <w:t xml:space="preserve">. Eine Verortung des angeführten Sachverhalts in der </w:t>
      </w:r>
      <w:r>
        <w:lastRenderedPageBreak/>
        <w:t>Verordnung bringt den Vorteil mit sich, dass das</w:t>
      </w:r>
      <w:r w:rsidRPr="00BC656E">
        <w:t xml:space="preserve"> </w:t>
      </w:r>
      <w:r>
        <w:t>PH-Gesetz</w:t>
      </w:r>
      <w:r w:rsidRPr="00BC656E">
        <w:t xml:space="preserve"> </w:t>
      </w:r>
      <w:r>
        <w:t xml:space="preserve">bei entsprechenden Anpassungen keiner erneuten Revision bedarf. </w:t>
      </w:r>
    </w:p>
    <w:p w14:paraId="66250A38" w14:textId="668C32CB" w:rsidR="00991B42" w:rsidRDefault="007D06B7" w:rsidP="00EC7F83">
      <w:pPr>
        <w:spacing w:before="120" w:after="120"/>
      </w:pPr>
      <w:r>
        <w:t xml:space="preserve">Eine PH-eigene Regelung </w:t>
      </w:r>
      <w:r w:rsidR="00E35401">
        <w:t>is</w:t>
      </w:r>
      <w:r>
        <w:t xml:space="preserve">t notwendig, um das </w:t>
      </w:r>
      <w:r w:rsidRPr="00593276">
        <w:t>Hochschulpersonal (Professuren, Dozierende und Mittelbau) einer anderen Lohnsystematik als die Lehrpersonen der kantonalen Schulen</w:t>
      </w:r>
      <w:r>
        <w:t xml:space="preserve"> folgen lassen zu können</w:t>
      </w:r>
      <w:r w:rsidRPr="00593276">
        <w:t>. Die Gründe liegen in</w:t>
      </w:r>
      <w:r w:rsidR="00E35401">
        <w:t xml:space="preserve"> den</w:t>
      </w:r>
      <w:r w:rsidRPr="00593276">
        <w:t xml:space="preserve"> Laufbahnen </w:t>
      </w:r>
      <w:r>
        <w:t>des Hochschulpersonals</w:t>
      </w:r>
      <w:r w:rsidRPr="00593276">
        <w:t xml:space="preserve">, </w:t>
      </w:r>
      <w:r>
        <w:t>d</w:t>
      </w:r>
      <w:r w:rsidR="00E35401">
        <w:t>ie</w:t>
      </w:r>
      <w:r w:rsidRPr="00593276">
        <w:t xml:space="preserve"> sich im Gegensatz zu</w:t>
      </w:r>
      <w:r w:rsidR="00E35401">
        <w:t xml:space="preserve"> den</w:t>
      </w:r>
      <w:r w:rsidRPr="00593276">
        <w:t xml:space="preserve"> kantonalen Lehrpersonen</w:t>
      </w:r>
      <w:r>
        <w:t xml:space="preserve"> der Sekundarstufe II</w:t>
      </w:r>
      <w:r w:rsidRPr="00593276">
        <w:t xml:space="preserve"> </w:t>
      </w:r>
      <w:r>
        <w:t>bzw. im Gegensatz zu</w:t>
      </w:r>
      <w:r w:rsidR="00E35401">
        <w:t>m</w:t>
      </w:r>
      <w:r>
        <w:t xml:space="preserve"> kantonale</w:t>
      </w:r>
      <w:r w:rsidR="00E35401">
        <w:t>n</w:t>
      </w:r>
      <w:r>
        <w:t xml:space="preserve"> Verwaltungspersonal </w:t>
      </w:r>
      <w:r w:rsidRPr="00593276">
        <w:t>über verschiedene Karrierestufen mit jeweiligen Qualifikationsschritten entwickel</w:t>
      </w:r>
      <w:r w:rsidR="00E35401">
        <w:t>n</w:t>
      </w:r>
      <w:r w:rsidRPr="00593276">
        <w:t xml:space="preserve"> (Lehrdiplom – Hochschulabschluss bzw. Abschlüsse im zu unterrichtenden Fachgebiet – ggf. Doktorat).</w:t>
      </w:r>
      <w:r>
        <w:t xml:space="preserve"> So heisst es etwa im</w:t>
      </w:r>
      <w:r w:rsidRPr="0056780A">
        <w:t xml:space="preserve"> nationalen Qualifikationsrahmen für die Pädagogischen Hochschulen: «Die Professorinnen und Professoren und die Dozierenden haben einen Hochschulabschluss auf Stufe Doktorat bzw. Habilitation oder Master, sind umfassend hochschuldidaktisch ausgebildet und verfügen über Unterrichts- und/oder Forschungserfahrung. Für die Tätigkeit in der berufsbezogenen Lehre wird zwingend ein Lehrdiplom auf der Zielstufe verlangt. Die Ausschreibung erfolgt national und/oder international. Der Mittelbau besteht aus wissenschaftlichen Mitarbeitenden und Assistierenden»</w:t>
      </w:r>
      <w:r>
        <w:t>.</w:t>
      </w:r>
      <w:r>
        <w:rPr>
          <w:rStyle w:val="Funotenzeichen"/>
          <w:rFonts w:eastAsia="Calibri"/>
        </w:rPr>
        <w:footnoteReference w:id="4"/>
      </w:r>
      <w:r w:rsidRPr="0056780A">
        <w:t xml:space="preserve"> </w:t>
      </w:r>
      <w:r w:rsidRPr="008C5F28">
        <w:t xml:space="preserve">Das Personal an Hochschulen </w:t>
      </w:r>
      <w:r>
        <w:t>muss</w:t>
      </w:r>
      <w:r w:rsidRPr="008C5F28">
        <w:t xml:space="preserve"> demnach eigene Funktionen</w:t>
      </w:r>
      <w:r>
        <w:t xml:space="preserve"> und Honorierungsmöglichkeiten kennen. </w:t>
      </w:r>
    </w:p>
    <w:p w14:paraId="2B858F22" w14:textId="77777777" w:rsidR="00EC7F83" w:rsidRDefault="00EC7F83" w:rsidP="00EC7F83">
      <w:pPr>
        <w:spacing w:before="120" w:after="120"/>
      </w:pPr>
    </w:p>
    <w:p w14:paraId="404446DB" w14:textId="778F8015" w:rsidR="00991B42" w:rsidRPr="00FF55B1" w:rsidRDefault="00CA716A" w:rsidP="00991B42">
      <w:pPr>
        <w:rPr>
          <w:rFonts w:cs="Arial"/>
        </w:rPr>
      </w:pPr>
      <w:r>
        <w:rPr>
          <w:rFonts w:cs="Arial"/>
        </w:rPr>
        <w:t xml:space="preserve">Bis anhin </w:t>
      </w:r>
      <w:r w:rsidR="00991B42" w:rsidRPr="00FF55B1">
        <w:rPr>
          <w:rFonts w:cs="Arial"/>
        </w:rPr>
        <w:t xml:space="preserve">fehlen der PH Zug die Möglichkeiten, die verschiedenen Funktionen ihres Personals angemessen abzubilden, weshalb </w:t>
      </w:r>
      <w:r w:rsidR="00991B42" w:rsidRPr="00EE033F">
        <w:rPr>
          <w:rFonts w:cs="Arial"/>
          <w:iCs/>
        </w:rPr>
        <w:t>Funktionszulagen</w:t>
      </w:r>
      <w:r w:rsidR="00991B42" w:rsidRPr="00FF55B1">
        <w:rPr>
          <w:rFonts w:cs="Arial"/>
        </w:rPr>
        <w:t xml:space="preserve"> gefordert w</w:t>
      </w:r>
      <w:r w:rsidR="002B3DC8">
        <w:rPr>
          <w:rFonts w:cs="Arial"/>
        </w:rPr>
        <w:t>e</w:t>
      </w:r>
      <w:r w:rsidR="00991B42" w:rsidRPr="00FF55B1">
        <w:rPr>
          <w:rFonts w:cs="Arial"/>
        </w:rPr>
        <w:t>rden. Funktionszulagen (analog § 6 LEVO) sind ein Mittel, Personen in Führungsfunktionen zu heben, ohne sie in eine höhere Lohnklasse einzureihen. Wird die in der Regel teilzeitliche Führungsfunktion wieder niedergelegt, erfolgt keine Änderungskündigung, sondern lediglich die Streichung der Funktionszulage.</w:t>
      </w:r>
      <w:r w:rsidR="00991B42">
        <w:rPr>
          <w:rFonts w:cs="Arial"/>
        </w:rPr>
        <w:t xml:space="preserve"> Gleichzeitig müssen insbesondere für die Aufgabe der Personalführung Anreize geschaffen werden, damit diese auf Interesse stösst, während fachliche Führung im Hochschulkontext als attraktiv gilt.</w:t>
      </w:r>
    </w:p>
    <w:p w14:paraId="165F14AE" w14:textId="77777777" w:rsidR="00991B42" w:rsidRDefault="00991B42" w:rsidP="00991B42">
      <w:pPr>
        <w:rPr>
          <w:rFonts w:cs="Arial"/>
          <w:highlight w:val="yellow"/>
        </w:rPr>
      </w:pPr>
    </w:p>
    <w:p w14:paraId="2AA66CA7" w14:textId="5C7DBD0D" w:rsidR="00CA716A" w:rsidRDefault="00CA716A" w:rsidP="00CA716A">
      <w:pPr>
        <w:rPr>
          <w:rFonts w:cs="Arial"/>
        </w:rPr>
      </w:pPr>
      <w:r w:rsidRPr="00FF55B1">
        <w:rPr>
          <w:rFonts w:cs="Arial"/>
        </w:rPr>
        <w:t xml:space="preserve">Die </w:t>
      </w:r>
      <w:r>
        <w:rPr>
          <w:rFonts w:cs="Arial"/>
        </w:rPr>
        <w:t xml:space="preserve">bisherigen </w:t>
      </w:r>
      <w:r w:rsidRPr="00FF55B1">
        <w:rPr>
          <w:rFonts w:cs="Arial"/>
        </w:rPr>
        <w:t xml:space="preserve">Lohnklassen bleiben erhalten. Neu soll es eine weitere </w:t>
      </w:r>
      <w:r>
        <w:rPr>
          <w:rFonts w:cs="Arial"/>
        </w:rPr>
        <w:t>Funktion</w:t>
      </w:r>
      <w:r w:rsidRPr="00FF55B1">
        <w:rPr>
          <w:rFonts w:cs="Arial"/>
        </w:rPr>
        <w:t xml:space="preserve"> für wissenschaftliche</w:t>
      </w:r>
      <w:r>
        <w:rPr>
          <w:rFonts w:cs="Arial"/>
        </w:rPr>
        <w:t xml:space="preserve"> Mitarbeitende geben, die eine </w:t>
      </w:r>
      <w:r w:rsidRPr="00452EDC">
        <w:rPr>
          <w:rFonts w:cs="Arial"/>
          <w:iCs/>
        </w:rPr>
        <w:t>Anlauffunktion für Dozierende</w:t>
      </w:r>
      <w:r>
        <w:rPr>
          <w:rFonts w:cs="Arial"/>
        </w:rPr>
        <w:t xml:space="preserve"> in der Aus- und Weiterbildung darstellt, welche noch nicht alle Voraussetzungen erfüllen (z.B. Hochschulabschluss oder Lehrdiplom). Das heisst, dass die Dozierenden-Laufbahn nach unten, respektive die Laufbahn einzelner Personen </w:t>
      </w:r>
      <w:r w:rsidR="00B15F18">
        <w:rPr>
          <w:rFonts w:cs="Arial"/>
        </w:rPr>
        <w:t>des Mittelbaus</w:t>
      </w:r>
      <w:r>
        <w:rPr>
          <w:rFonts w:cs="Arial"/>
        </w:rPr>
        <w:t xml:space="preserve"> (z.B. Methoden-Spezialisten) nach oben erweitert wird. Damit wird eine «Scharnierfunktion» zwischen den befristeten wissenschaftlichen Mitarbeitenden und den unbefristet angestellten Dozierenden eingebaut und eine </w:t>
      </w:r>
      <w:r w:rsidRPr="00452EDC">
        <w:rPr>
          <w:rFonts w:cs="Arial"/>
          <w:iCs/>
        </w:rPr>
        <w:t>Lücke in der Lohnsystematik geschlossen</w:t>
      </w:r>
      <w:r w:rsidRPr="00452EDC">
        <w:rPr>
          <w:rFonts w:cs="Arial"/>
        </w:rPr>
        <w:t>.</w:t>
      </w:r>
      <w:r>
        <w:rPr>
          <w:rFonts w:cs="Arial"/>
        </w:rPr>
        <w:t xml:space="preserve"> </w:t>
      </w:r>
    </w:p>
    <w:p w14:paraId="4DA31610" w14:textId="77777777" w:rsidR="00CA716A" w:rsidRDefault="00CA716A" w:rsidP="00CA716A">
      <w:pPr>
        <w:rPr>
          <w:rFonts w:cs="Arial"/>
        </w:rPr>
      </w:pPr>
    </w:p>
    <w:p w14:paraId="05964727" w14:textId="0EFADF1A" w:rsidR="00CA716A" w:rsidRPr="00CA716A" w:rsidRDefault="00CA716A" w:rsidP="00C16BC2">
      <w:pPr>
        <w:spacing w:after="200" w:line="276" w:lineRule="auto"/>
        <w:rPr>
          <w:rFonts w:cs="Arial"/>
        </w:rPr>
      </w:pPr>
      <w:r>
        <w:rPr>
          <w:rFonts w:cs="Arial"/>
        </w:rPr>
        <w:t>Die neue Funktion einer unbefristeten Anstellung</w:t>
      </w:r>
      <w:r w:rsidR="00B15F18">
        <w:rPr>
          <w:rFonts w:cs="Arial"/>
        </w:rPr>
        <w:t xml:space="preserve"> in der Personalkategorie </w:t>
      </w:r>
      <w:r w:rsidR="00C16BC2">
        <w:rPr>
          <w:rFonts w:cs="Arial"/>
        </w:rPr>
        <w:t>w</w:t>
      </w:r>
      <w:r w:rsidR="00B15F18">
        <w:rPr>
          <w:rFonts w:cs="Arial"/>
        </w:rPr>
        <w:t>issenschaftliche Mitarbeitende</w:t>
      </w:r>
      <w:r>
        <w:rPr>
          <w:rFonts w:cs="Arial"/>
        </w:rPr>
        <w:t xml:space="preserve"> stimmt mit den Referenzfunktionen anderer PHs/FHs (z.B. FHNW, vgl. GAV</w:t>
      </w:r>
      <w:r w:rsidR="003D6D83">
        <w:rPr>
          <w:rFonts w:cs="Arial"/>
        </w:rPr>
        <w:t>;</w:t>
      </w:r>
      <w:r>
        <w:rPr>
          <w:rFonts w:cs="Arial"/>
        </w:rPr>
        <w:t xml:space="preserve"> PHZH u.a.m.) überein. Da die Einheiten in der anwendungsorientierten Forschung mit einem «Deckungsbeitrag» arbeiten, führt Personal mit einer höheren Anstellung zwangsläufig dazu, dass mehr Drittmittel eingeworben werden m</w:t>
      </w:r>
      <w:r w:rsidR="00352DD1">
        <w:rPr>
          <w:rFonts w:cs="Arial"/>
        </w:rPr>
        <w:t>ü</w:t>
      </w:r>
      <w:r>
        <w:rPr>
          <w:rFonts w:cs="Arial"/>
        </w:rPr>
        <w:t>ss</w:t>
      </w:r>
      <w:r w:rsidR="00352DD1">
        <w:rPr>
          <w:rFonts w:cs="Arial"/>
        </w:rPr>
        <w:t>en</w:t>
      </w:r>
      <w:r>
        <w:rPr>
          <w:rFonts w:cs="Arial"/>
        </w:rPr>
        <w:t>. Mit der neuen Funktion können junge Dozierende in der Ausbildung durch die unbefristete Anstellung bereits gebunden werden</w:t>
      </w:r>
      <w:r w:rsidR="00B15F18">
        <w:rPr>
          <w:rFonts w:cs="Arial"/>
        </w:rPr>
        <w:t>, auch wenn ihnen noch eine Qualifikation (i.d.R. Master-Diplom) fehlt. Einen ähnlichen Passus gibt es für die kantonalen Lehrpersonen, die ebenfalls tiefer eingereiht werden, wenn ihnen das Lehrdiplom für die Sekundarstufe II noch fehlt</w:t>
      </w:r>
      <w:r w:rsidR="00F33EE1">
        <w:rPr>
          <w:rFonts w:cs="Arial"/>
        </w:rPr>
        <w:t>.</w:t>
      </w:r>
      <w:r>
        <w:rPr>
          <w:rFonts w:cs="Arial"/>
        </w:rPr>
        <w:t xml:space="preserve"> Die Einführung dieser neuen Funktion führt nicht zu einem höheren Aufwand.</w:t>
      </w:r>
    </w:p>
    <w:p w14:paraId="234BB689" w14:textId="30262814" w:rsidR="00CA716A" w:rsidRPr="00CA716A" w:rsidRDefault="00CA716A" w:rsidP="00991B42">
      <w:pPr>
        <w:rPr>
          <w:rFonts w:cs="Arial"/>
          <w:color w:val="FF0000"/>
        </w:rPr>
      </w:pPr>
      <w:r>
        <w:rPr>
          <w:rFonts w:cs="Arial"/>
        </w:rPr>
        <w:lastRenderedPageBreak/>
        <w:t>Die Pädagogischen Hochschulen in der Schweiz haben sich in den letzten Jahren im PgB-Projekt «Doppeltes Kompetenzprofil» (Lehrdiplom, Unterrichtserfahrung und Hochschulabschluss) intensiv mit den Profilen ihrer Dozierenden beschäftigt und ein Rahmenmodell für Fach- und Führungslaufbahnen entwickelt</w:t>
      </w:r>
      <w:r w:rsidR="00C16BC2">
        <w:rPr>
          <w:rFonts w:cs="Arial"/>
        </w:rPr>
        <w:t xml:space="preserve"> (</w:t>
      </w:r>
      <w:r w:rsidR="00C16BC2" w:rsidRPr="00CA716A">
        <w:rPr>
          <w:rFonts w:cs="Arial"/>
          <w:iCs/>
        </w:rPr>
        <w:t>Modell der Kammer PH von swissuniversities</w:t>
      </w:r>
      <w:r w:rsidR="00C16BC2">
        <w:rPr>
          <w:rFonts w:cs="Arial"/>
          <w:iCs/>
        </w:rPr>
        <w:t>)</w:t>
      </w:r>
      <w:r>
        <w:rPr>
          <w:rFonts w:cs="Arial"/>
        </w:rPr>
        <w:t xml:space="preserve">. Die PH Zug hat darauf aufbauend die Erarbeitung von </w:t>
      </w:r>
      <w:r w:rsidR="00F33EE1">
        <w:rPr>
          <w:rFonts w:cs="Arial"/>
        </w:rPr>
        <w:t>Funktionsbeschrieben (analog</w:t>
      </w:r>
      <w:r w:rsidR="00C16BC2">
        <w:rPr>
          <w:rFonts w:cs="Arial"/>
        </w:rPr>
        <w:t xml:space="preserve"> der</w:t>
      </w:r>
      <w:r w:rsidR="00F33EE1">
        <w:rPr>
          <w:rFonts w:cs="Arial"/>
        </w:rPr>
        <w:t xml:space="preserve"> Referenzfunktionen in der LEVO)</w:t>
      </w:r>
      <w:r>
        <w:rPr>
          <w:rFonts w:cs="Arial"/>
        </w:rPr>
        <w:t xml:space="preserve"> an die Hand genommen und intern abgestützt. Dabei war auch der Austausch mit den P</w:t>
      </w:r>
      <w:r w:rsidR="00C16BC2">
        <w:rPr>
          <w:rFonts w:cs="Arial"/>
        </w:rPr>
        <w:t>ädagogischen Hochschulen</w:t>
      </w:r>
      <w:r>
        <w:rPr>
          <w:rFonts w:cs="Arial"/>
        </w:rPr>
        <w:t xml:space="preserve"> der Zentralschweiz wichtig, ebenso wie der Vergleich mit anderen </w:t>
      </w:r>
      <w:r w:rsidR="008C57F4">
        <w:t>PHs/FHs</w:t>
      </w:r>
      <w:r>
        <w:rPr>
          <w:rFonts w:cs="Arial"/>
        </w:rPr>
        <w:t>. Die daraus gewonnenen Erkenntnisse werden in die PHV einfliessen.</w:t>
      </w:r>
    </w:p>
    <w:p w14:paraId="31113BC5" w14:textId="77777777" w:rsidR="007D06B7" w:rsidRDefault="007D06B7" w:rsidP="007D06B7"/>
    <w:p w14:paraId="7D2EC111" w14:textId="77777777" w:rsidR="007D06B7" w:rsidRPr="00673237" w:rsidRDefault="007D06B7" w:rsidP="007D06B7">
      <w:pPr>
        <w:pStyle w:val="TableContents"/>
        <w:rPr>
          <w:b/>
          <w:bCs/>
        </w:rPr>
      </w:pPr>
      <w:r w:rsidRPr="00673237">
        <w:rPr>
          <w:b/>
          <w:bCs/>
        </w:rPr>
        <w:t>§ 21</w:t>
      </w:r>
      <w:r>
        <w:rPr>
          <w:b/>
          <w:bCs/>
        </w:rPr>
        <w:t>b</w:t>
      </w:r>
      <w:r w:rsidRPr="00673237">
        <w:rPr>
          <w:b/>
          <w:bCs/>
        </w:rPr>
        <w:t xml:space="preserve"> Arbeitszeit </w:t>
      </w:r>
    </w:p>
    <w:p w14:paraId="05B1947A" w14:textId="40FDF087" w:rsidR="007D06B7" w:rsidRDefault="007D06B7" w:rsidP="002674EE">
      <w:pPr>
        <w:spacing w:before="120" w:after="120"/>
      </w:pPr>
      <w:r>
        <w:t>Mit der Ergänzung dieses neuen Paragra</w:t>
      </w:r>
      <w:r w:rsidR="004C5496">
        <w:t>ph</w:t>
      </w:r>
      <w:r>
        <w:t xml:space="preserve">en wird auf Gesetzesebene festgelegt, dass die Ausformulierung von abweichenden Bestimmungen zum Personalgesetz durch den Regierungsrat in der PH-Verordnung geregelt wird. Dies ist notwendig, da das Personalgesetz die Spezifika eines Teils des Hochschulpersonals nicht abbildet. Die Arbeitszeitmodelle eines Teils des Hochschulpersonals unterscheiden sich wesentlich vom Verwaltungs- wie auch vom Lehrpersonal der kantonalen Schulen. </w:t>
      </w:r>
    </w:p>
    <w:p w14:paraId="0899C3FF" w14:textId="77777777" w:rsidR="007D06B7" w:rsidRDefault="007D06B7" w:rsidP="002674EE">
      <w:pPr>
        <w:spacing w:after="120"/>
      </w:pPr>
      <w:r>
        <w:t xml:space="preserve">Es sind insbesondere folgende Punkte festzulegen: </w:t>
      </w:r>
    </w:p>
    <w:p w14:paraId="0E00BF8B" w14:textId="42DC526B" w:rsidR="007D06B7" w:rsidRDefault="007D06B7" w:rsidP="007D06B7">
      <w:pPr>
        <w:ind w:left="709" w:hanging="283"/>
      </w:pPr>
      <w:r>
        <w:t xml:space="preserve">• </w:t>
      </w:r>
      <w:r>
        <w:tab/>
        <w:t>Pauschalierung und Anrechnung von Arbeitszeit bei Dozierenden, wissenschaftlichen Mitarbeitenden und wissenschaftlichen Assistierenden in den verschiedenen Leistungskategorien</w:t>
      </w:r>
      <w:r w:rsidR="00C16BC2">
        <w:t>;</w:t>
      </w:r>
    </w:p>
    <w:p w14:paraId="4DC0E9EC" w14:textId="56F61EC0" w:rsidR="007D06B7" w:rsidRDefault="00331B60" w:rsidP="002674EE">
      <w:pPr>
        <w:spacing w:after="120"/>
        <w:ind w:left="709" w:hanging="425"/>
      </w:pPr>
      <w:r>
        <w:t xml:space="preserve"> </w:t>
      </w:r>
      <w:r w:rsidR="007D06B7">
        <w:t xml:space="preserve"> • </w:t>
      </w:r>
      <w:r w:rsidR="007D06B7">
        <w:tab/>
        <w:t>Ausnahmeregelung der Arbeitszeiterfassung für Teile des Hochschulpersonals</w:t>
      </w:r>
      <w:r w:rsidR="00C16BC2">
        <w:t>.</w:t>
      </w:r>
    </w:p>
    <w:p w14:paraId="7CDAE5F0" w14:textId="1063D6A2" w:rsidR="007D06B7" w:rsidRDefault="007D06B7" w:rsidP="007D06B7">
      <w:r>
        <w:t>Mit Faktoren und Zeitpauschalen werden zum Beispiel in der Lehre (Weiterbildung und Ausbildung) die Zeitgutschriften festgelegt, abhängig von der Anzahl Teilnehmenden, vom Umfang (ECTS-Punkten) und von der Form (z.B. Vorlesung oder Seminar etc.).</w:t>
      </w:r>
    </w:p>
    <w:p w14:paraId="0E3FAFAF" w14:textId="3C43933B" w:rsidR="00BB4178" w:rsidRDefault="00BB4178" w:rsidP="007D06B7"/>
    <w:p w14:paraId="4EC065E6" w14:textId="6EF767CF" w:rsidR="00BC5616" w:rsidRDefault="00BC5616" w:rsidP="00BC5616">
      <w:pPr>
        <w:rPr>
          <w:rFonts w:cs="Arial"/>
        </w:rPr>
      </w:pPr>
      <w:r w:rsidRPr="00340249">
        <w:rPr>
          <w:rFonts w:cs="Arial"/>
        </w:rPr>
        <w:t>Die personalrechtlichen Bestimmungen des Kantons zur Arbeitszeit (inkl. Arbeitszeitverordnung) gelten grundsätzlich auch für die Mitarbeitenden der PH Zug. Für den Lehrkörper im</w:t>
      </w:r>
      <w:r w:rsidR="00452EDC">
        <w:rPr>
          <w:rFonts w:cs="Arial"/>
        </w:rPr>
        <w:t xml:space="preserve"> vier</w:t>
      </w:r>
      <w:r w:rsidRPr="00340249">
        <w:rPr>
          <w:rFonts w:cs="Arial"/>
        </w:rPr>
        <w:t xml:space="preserve">fachen Auftrag der PH Zug, der mit einem individuellen Arbeitsportfolio (Tool Personaleinsatzplanung) arbeitet, welches ihre Aufgaben mit zugehörigen Pensen/Arbeitsstunden ausweist, braucht es Möglichkeiten zur Pauschalierung und Anrechnung von Arbeitszeit (faktorisierte Leistungen, Leistungen mit Pauschalen, Leistungen mit Stundendach). </w:t>
      </w:r>
      <w:r>
        <w:rPr>
          <w:rFonts w:cs="Arial"/>
        </w:rPr>
        <w:t xml:space="preserve">Man kann hier auch von Stundenkontingenten sprechen. </w:t>
      </w:r>
      <w:r w:rsidRPr="00340249">
        <w:rPr>
          <w:rFonts w:cs="Arial"/>
        </w:rPr>
        <w:t xml:space="preserve">Die FHNW </w:t>
      </w:r>
      <w:r>
        <w:rPr>
          <w:rFonts w:cs="Arial"/>
        </w:rPr>
        <w:t xml:space="preserve">beispielsweise </w:t>
      </w:r>
      <w:r w:rsidRPr="00340249">
        <w:rPr>
          <w:rFonts w:cs="Arial"/>
        </w:rPr>
        <w:t>unterscheidet deshalb «Personen mit Zeiterfassung» und «Personen ohne Zeiterfassung». Mitarbeitenden ohne Zeiterfassung wird durch die vorgesetzte Person ein individuelles Arbeitsportfolio erstellt. Die Brutto-Soll-Arbeitszeit bei einem Vollpensum beträgt pro Studienjahr 2100 Stun</w:t>
      </w:r>
      <w:r>
        <w:rPr>
          <w:rFonts w:cs="Arial"/>
        </w:rPr>
        <w:t>de</w:t>
      </w:r>
      <w:r w:rsidRPr="00340249">
        <w:rPr>
          <w:rFonts w:cs="Arial"/>
        </w:rPr>
        <w:t>n nach Abzug der Feiertage/arbeitsfreien Tage (vgl. FHNW, GAV, A3.5)</w:t>
      </w:r>
      <w:r>
        <w:rPr>
          <w:rFonts w:cs="Arial"/>
        </w:rPr>
        <w:t>.</w:t>
      </w:r>
    </w:p>
    <w:p w14:paraId="5DF1C072" w14:textId="77777777" w:rsidR="00907DED" w:rsidRPr="00340249" w:rsidRDefault="00907DED" w:rsidP="00BC5616">
      <w:pPr>
        <w:rPr>
          <w:rFonts w:cs="Arial"/>
        </w:rPr>
      </w:pPr>
    </w:p>
    <w:p w14:paraId="4611FA9A" w14:textId="72B44A8A" w:rsidR="00BC5616" w:rsidRPr="003461E5" w:rsidRDefault="00BC5616" w:rsidP="00BC5616">
      <w:pPr>
        <w:rPr>
          <w:rFonts w:cs="Arial"/>
        </w:rPr>
      </w:pPr>
      <w:r w:rsidRPr="003461E5">
        <w:rPr>
          <w:rFonts w:cs="Arial"/>
        </w:rPr>
        <w:t xml:space="preserve">In die PHV soll </w:t>
      </w:r>
      <w:r w:rsidR="00452EDC">
        <w:rPr>
          <w:rFonts w:cs="Arial"/>
        </w:rPr>
        <w:t xml:space="preserve">deshalb </w:t>
      </w:r>
      <w:r w:rsidRPr="003461E5">
        <w:rPr>
          <w:rFonts w:cs="Arial"/>
        </w:rPr>
        <w:t xml:space="preserve">sinngemäss folgende Bestimmung aufgenommen werden (§ 22 nPHV): </w:t>
      </w:r>
    </w:p>
    <w:p w14:paraId="3F1705E6" w14:textId="7AE70AEB" w:rsidR="00907DED" w:rsidRDefault="00BC5616" w:rsidP="007D06B7">
      <w:pPr>
        <w:rPr>
          <w:rFonts w:cs="Arial"/>
        </w:rPr>
      </w:pPr>
      <w:r w:rsidRPr="003461E5">
        <w:rPr>
          <w:rFonts w:cs="Arial"/>
        </w:rPr>
        <w:t xml:space="preserve">Die Hochschulleitung der Pädagogischen Hochschule Zug erlässt zur Anrechnung der Arbeitszeit des </w:t>
      </w:r>
      <w:r>
        <w:rPr>
          <w:rFonts w:cs="Arial"/>
        </w:rPr>
        <w:t xml:space="preserve">Lehrkörpers im </w:t>
      </w:r>
      <w:r w:rsidR="00452EDC">
        <w:rPr>
          <w:rFonts w:cs="Arial"/>
        </w:rPr>
        <w:t>vier</w:t>
      </w:r>
      <w:r>
        <w:rPr>
          <w:rFonts w:cs="Arial"/>
        </w:rPr>
        <w:t>fachen Auftrag</w:t>
      </w:r>
      <w:r w:rsidRPr="003461E5">
        <w:rPr>
          <w:rFonts w:cs="Arial"/>
        </w:rPr>
        <w:t xml:space="preserve"> Richtlinien, worin sie pauschale Zeitgutschriften sowie den Modus für weitere Leistungen festlegt. </w:t>
      </w:r>
    </w:p>
    <w:p w14:paraId="290FCC47" w14:textId="77777777" w:rsidR="00907DED" w:rsidRDefault="00907DED" w:rsidP="007D06B7">
      <w:pPr>
        <w:rPr>
          <w:rFonts w:cs="Arial"/>
        </w:rPr>
      </w:pPr>
    </w:p>
    <w:p w14:paraId="0774234A" w14:textId="14C9A782" w:rsidR="00BB4178" w:rsidRDefault="00BC5616" w:rsidP="007D06B7">
      <w:pPr>
        <w:rPr>
          <w:rFonts w:cs="Arial"/>
        </w:rPr>
      </w:pPr>
      <w:r w:rsidRPr="003461E5">
        <w:rPr>
          <w:rFonts w:cs="Arial"/>
        </w:rPr>
        <w:t xml:space="preserve">In der Ausbildung wird bspw. eine Pauschale für eine Veranstaltung von </w:t>
      </w:r>
      <w:r>
        <w:rPr>
          <w:rFonts w:cs="Arial"/>
        </w:rPr>
        <w:t>zwei</w:t>
      </w:r>
      <w:r w:rsidRPr="003461E5">
        <w:rPr>
          <w:rFonts w:cs="Arial"/>
        </w:rPr>
        <w:t xml:space="preserve"> Lektionen Dauer festgelegt. Neben dem Unterricht haben Dozierende </w:t>
      </w:r>
      <w:r>
        <w:rPr>
          <w:rFonts w:cs="Arial"/>
        </w:rPr>
        <w:t>Arbeiten</w:t>
      </w:r>
      <w:r w:rsidRPr="003461E5">
        <w:rPr>
          <w:rFonts w:cs="Arial"/>
        </w:rPr>
        <w:t xml:space="preserve"> zu beurteilen</w:t>
      </w:r>
      <w:r>
        <w:rPr>
          <w:rFonts w:cs="Arial"/>
        </w:rPr>
        <w:t>, Praktika zu begleiten etc</w:t>
      </w:r>
      <w:r w:rsidRPr="003461E5">
        <w:rPr>
          <w:rFonts w:cs="Arial"/>
        </w:rPr>
        <w:t xml:space="preserve">. Auch wenn der Aufwand </w:t>
      </w:r>
      <w:r>
        <w:rPr>
          <w:rFonts w:cs="Arial"/>
        </w:rPr>
        <w:t xml:space="preserve">für die Dozierenden </w:t>
      </w:r>
      <w:r w:rsidRPr="003461E5">
        <w:rPr>
          <w:rFonts w:cs="Arial"/>
        </w:rPr>
        <w:t xml:space="preserve">höher </w:t>
      </w:r>
      <w:r w:rsidR="00F33EE1">
        <w:rPr>
          <w:rFonts w:cs="Arial"/>
        </w:rPr>
        <w:t xml:space="preserve">oder tiefer </w:t>
      </w:r>
      <w:r w:rsidRPr="003461E5">
        <w:rPr>
          <w:rFonts w:cs="Arial"/>
        </w:rPr>
        <w:t xml:space="preserve">liegen sollte, wird die Leistung mit einer </w:t>
      </w:r>
      <w:r>
        <w:rPr>
          <w:rFonts w:cs="Arial"/>
        </w:rPr>
        <w:t xml:space="preserve">(fixen) </w:t>
      </w:r>
      <w:r w:rsidRPr="003461E5">
        <w:rPr>
          <w:rFonts w:cs="Arial"/>
        </w:rPr>
        <w:t xml:space="preserve">Pauschale entschädigt. Damit </w:t>
      </w:r>
      <w:r>
        <w:rPr>
          <w:rFonts w:cs="Arial"/>
        </w:rPr>
        <w:t>wird</w:t>
      </w:r>
      <w:r w:rsidRPr="003461E5">
        <w:rPr>
          <w:rFonts w:cs="Arial"/>
        </w:rPr>
        <w:t xml:space="preserve"> garantiert, dass der Aufwand für die Lehre berechenbar ist.</w:t>
      </w:r>
      <w:r>
        <w:rPr>
          <w:rFonts w:cs="Arial"/>
        </w:rPr>
        <w:t xml:space="preserve"> </w:t>
      </w:r>
    </w:p>
    <w:p w14:paraId="2B7767A3" w14:textId="1ECFA59E" w:rsidR="00452EDC" w:rsidRDefault="00452EDC" w:rsidP="007D06B7">
      <w:pPr>
        <w:rPr>
          <w:rFonts w:cs="Arial"/>
        </w:rPr>
      </w:pPr>
    </w:p>
    <w:p w14:paraId="7A250603" w14:textId="3FF8FED5" w:rsidR="00452EDC" w:rsidRDefault="00452EDC" w:rsidP="00452EDC">
      <w:r>
        <w:t xml:space="preserve">Sowohl im Bereich Arbeitszeit als auch im nachfolgend aufgeführten Bereich der Aus- und Weiterbildung, ist eine adäquate, auf das Hochschulpersonal ausgerichtete Regelungsmöglichkeit von hoher Bedeutung. Deshalb werden diese Bereiche hier explizit zur Regelung im Rahmen </w:t>
      </w:r>
      <w:r>
        <w:lastRenderedPageBreak/>
        <w:t>der PHV aufgeführt. Die aufgenommenen Anpassungen sind u.a. auch angeregt durch einen Quervergleich mit den Gesetzen anderer PHs bzw. FHs.</w:t>
      </w:r>
    </w:p>
    <w:p w14:paraId="74B414E8" w14:textId="77777777" w:rsidR="007D06B7" w:rsidRDefault="007D06B7" w:rsidP="007D06B7"/>
    <w:p w14:paraId="3B92F7B3" w14:textId="77777777" w:rsidR="007D06B7" w:rsidRPr="00673237" w:rsidRDefault="007D06B7" w:rsidP="007D06B7">
      <w:pPr>
        <w:rPr>
          <w:b/>
        </w:rPr>
      </w:pPr>
      <w:r w:rsidRPr="00673237">
        <w:rPr>
          <w:b/>
        </w:rPr>
        <w:t>§ 21</w:t>
      </w:r>
      <w:r>
        <w:rPr>
          <w:b/>
        </w:rPr>
        <w:t>c</w:t>
      </w:r>
      <w:r w:rsidRPr="00673237">
        <w:rPr>
          <w:b/>
        </w:rPr>
        <w:t xml:space="preserve"> Aus- und Weiterbildung</w:t>
      </w:r>
    </w:p>
    <w:p w14:paraId="3861827E" w14:textId="215B4A76" w:rsidR="007D06B7" w:rsidRDefault="005D1BF7" w:rsidP="00452EDC">
      <w:r>
        <w:t xml:space="preserve">Die Bestimmungen betreffend die Aus- und Weiterbildung richten sich grundsätzlich nach den Bestimmungen des Personalgesetzes. </w:t>
      </w:r>
      <w:r w:rsidR="00472648">
        <w:t xml:space="preserve">Allenfalls notwendige, für die PH Zug spezifische rechtliche </w:t>
      </w:r>
      <w:r w:rsidR="00540FAF">
        <w:t>Abweichungen</w:t>
      </w:r>
      <w:r w:rsidR="00472648">
        <w:t xml:space="preserve"> der Bestimmungen</w:t>
      </w:r>
      <w:r w:rsidR="00540FAF">
        <w:t xml:space="preserve"> betreffend die Bedingungen für die Aus- und Weiterbildung, die Voraussetzungen und den Umfang einer allfälligen Kostenbeteiligung durch die PH Zug sowie der Rückzahlungsverpflichtung durch die Mitarbeitenden legt der Regierungsrat in der Verordnung fest. </w:t>
      </w:r>
    </w:p>
    <w:p w14:paraId="2EB487AE" w14:textId="77777777" w:rsidR="00452EDC" w:rsidRPr="008C5F28" w:rsidRDefault="00452EDC" w:rsidP="00452EDC"/>
    <w:p w14:paraId="0FD7FD8F" w14:textId="77777777" w:rsidR="007D06B7" w:rsidRPr="00452EDC" w:rsidRDefault="007D06B7" w:rsidP="007D06B7">
      <w:pPr>
        <w:rPr>
          <w:b/>
        </w:rPr>
      </w:pPr>
      <w:r w:rsidRPr="00452EDC">
        <w:rPr>
          <w:b/>
        </w:rPr>
        <w:t>§ 22 Kündigung</w:t>
      </w:r>
    </w:p>
    <w:p w14:paraId="6DF7C696" w14:textId="4CCFE922" w:rsidR="00452EDC" w:rsidRDefault="00A120FA" w:rsidP="00452EDC">
      <w:r w:rsidRPr="007E24CB">
        <w:t>Personen mit Lehrverpflichtung können das Arbeitsverhältnis unter Einhaltung einer Kündigungsfrist von sechs Monaten jeweils auf Ende eines Semesters künden. Davon abweichend</w:t>
      </w:r>
      <w:r w:rsidR="0053636A" w:rsidRPr="007E24CB">
        <w:t xml:space="preserve"> kann</w:t>
      </w:r>
      <w:r w:rsidR="00A126BF" w:rsidRPr="007E24CB">
        <w:t xml:space="preserve"> seitens Arbeitgeber</w:t>
      </w:r>
      <w:r w:rsidR="008A017B" w:rsidRPr="007E24CB">
        <w:t xml:space="preserve"> Personen mit Lehrverpflichtung</w:t>
      </w:r>
      <w:r w:rsidR="00A126BF" w:rsidRPr="007E24CB">
        <w:t xml:space="preserve"> nur auf Ende des Studienjahres gekündigt werden. Diese Inkongruenz ist</w:t>
      </w:r>
      <w:r w:rsidR="008A017B" w:rsidRPr="007E24CB">
        <w:t xml:space="preserve"> analog der im Rahmen des Projekts Anstellungsbedingungen geänderten Regelung für kantonale und gemeindliche Lehrpersonen</w:t>
      </w:r>
      <w:r w:rsidR="00A126BF" w:rsidRPr="007E24CB">
        <w:t xml:space="preserve"> zu beheben. Neu soll auch den Personen mit Lehrverpflichtun</w:t>
      </w:r>
      <w:r w:rsidR="002262F5" w:rsidRPr="007E24CB">
        <w:t>g</w:t>
      </w:r>
      <w:r w:rsidR="008A017B" w:rsidRPr="007E24CB">
        <w:t xml:space="preserve"> auf Ende eines Semesters</w:t>
      </w:r>
      <w:r w:rsidR="00A126BF" w:rsidRPr="007E24CB">
        <w:t xml:space="preserve"> gekündigt werden können</w:t>
      </w:r>
      <w:r w:rsidR="008A017B" w:rsidRPr="007E24CB">
        <w:t>. Der Gesetzestext wird entsprechend angepasst.</w:t>
      </w:r>
      <w:r w:rsidR="00A126BF" w:rsidRPr="007E24CB">
        <w:t xml:space="preserve"> Begründet ist dies wie folgt: Treten bei einer Person mit Lehrverpflichtung gravierende Probleme auf (Verhalten; Leistung/Qualität), welche eine Weiterbeschäftigung verunmöglichen, nimmt der Kündigungsprozess ausserordentlich viel Zeit in Anspruch. Wird die Kündigung beispielsweise im Verlaufe des 2. Semesters ausgesprochen, greift diese erst per Ende des darauffolgenden Studienjahres. Mit der Angleichung des Kündigungstermins des Arbeitgebenden an denjenigen der Arbeitnehmenden wird diese Frist in vertretbarer Weise verkürzt.</w:t>
      </w:r>
    </w:p>
    <w:p w14:paraId="5F2F9E02" w14:textId="77777777" w:rsidR="00452EDC" w:rsidRDefault="00452EDC" w:rsidP="00452EDC"/>
    <w:p w14:paraId="3A358288" w14:textId="3E909C7B" w:rsidR="007D06B7" w:rsidRDefault="0028556C" w:rsidP="00452EDC">
      <w:r>
        <w:t xml:space="preserve">5.6. </w:t>
      </w:r>
      <w:r w:rsidR="007D06B7" w:rsidRPr="00E827AA">
        <w:t xml:space="preserve">Studierende und </w:t>
      </w:r>
      <w:r w:rsidR="007D06B7">
        <w:t>Weiterbildungs</w:t>
      </w:r>
      <w:r w:rsidR="007D06B7" w:rsidRPr="00E827AA">
        <w:t>teilnehmende</w:t>
      </w:r>
    </w:p>
    <w:p w14:paraId="656B5FA3" w14:textId="77777777" w:rsidR="009C2EBC" w:rsidRPr="009C2EBC" w:rsidRDefault="009C2EBC" w:rsidP="00452EDC"/>
    <w:p w14:paraId="7B3D7E60" w14:textId="77777777" w:rsidR="007D06B7" w:rsidRDefault="007D06B7" w:rsidP="007D06B7">
      <w:pPr>
        <w:rPr>
          <w:b/>
          <w:bCs/>
        </w:rPr>
      </w:pPr>
      <w:r>
        <w:rPr>
          <w:b/>
          <w:bCs/>
        </w:rPr>
        <w:t>§ 23 Umschreibung</w:t>
      </w:r>
    </w:p>
    <w:p w14:paraId="01261467" w14:textId="070C8E6C" w:rsidR="007D06B7" w:rsidRDefault="007D06B7" w:rsidP="002674EE">
      <w:pPr>
        <w:spacing w:before="120"/>
      </w:pPr>
      <w:r>
        <w:t>Aufgrund der Anpassung der Begrifflichkeiten im Leistungsbereich Weiterbildung (vgl. dazu §§</w:t>
      </w:r>
      <w:r w:rsidR="00C16BC2">
        <w:t> </w:t>
      </w:r>
      <w:r>
        <w:t xml:space="preserve">3 und 17 PHG sowie die </w:t>
      </w:r>
      <w:r w:rsidRPr="003A0049">
        <w:t>Ausfü</w:t>
      </w:r>
      <w:r>
        <w:t>h</w:t>
      </w:r>
      <w:r w:rsidRPr="003A0049">
        <w:t xml:space="preserve">rungen </w:t>
      </w:r>
      <w:r>
        <w:t>unter Kap</w:t>
      </w:r>
      <w:r w:rsidRPr="003A0049">
        <w:t>. 2)</w:t>
      </w:r>
      <w:r>
        <w:t xml:space="preserve"> sind auch der Titel von Ziff. </w:t>
      </w:r>
      <w:r w:rsidRPr="003A0049">
        <w:t xml:space="preserve">2.2. </w:t>
      </w:r>
      <w:r>
        <w:t xml:space="preserve">sowie § 23 </w:t>
      </w:r>
      <w:r w:rsidR="00E85CA5">
        <w:t xml:space="preserve">des PHG </w:t>
      </w:r>
      <w:r>
        <w:t xml:space="preserve">entsprechend anzupassen. </w:t>
      </w:r>
    </w:p>
    <w:p w14:paraId="2CE959B5" w14:textId="77777777" w:rsidR="007D06B7" w:rsidRDefault="007D06B7" w:rsidP="007D06B7">
      <w:pPr>
        <w:rPr>
          <w:b/>
          <w:bCs/>
        </w:rPr>
      </w:pPr>
    </w:p>
    <w:p w14:paraId="0F2347A1" w14:textId="77777777" w:rsidR="007D06B7" w:rsidRPr="00B432D9" w:rsidRDefault="007D06B7" w:rsidP="007D06B7">
      <w:pPr>
        <w:rPr>
          <w:b/>
          <w:bCs/>
        </w:rPr>
      </w:pPr>
      <w:r w:rsidRPr="007E605B">
        <w:rPr>
          <w:b/>
          <w:bCs/>
        </w:rPr>
        <w:t xml:space="preserve">§ 27 </w:t>
      </w:r>
      <w:r>
        <w:rPr>
          <w:b/>
          <w:bCs/>
        </w:rPr>
        <w:t>Gaststudierende</w:t>
      </w:r>
    </w:p>
    <w:p w14:paraId="577FA66B" w14:textId="1253270A" w:rsidR="007D06B7" w:rsidRDefault="007D06B7" w:rsidP="002674EE">
      <w:pPr>
        <w:spacing w:before="120"/>
      </w:pPr>
      <w:r>
        <w:t>Bei Studierenden der PH Zug, die während eines Semesters an einer anderen Hochschule studieren, erfolgt kein «Austausch» im klassischen Sinne. Die PH Zug begrüsst zwar ebenfalls Gaststudierende.</w:t>
      </w:r>
      <w:r w:rsidR="00484569">
        <w:t xml:space="preserve"> </w:t>
      </w:r>
      <w:r>
        <w:t xml:space="preserve">Diese Studierenden müssen aber nicht zwingend an denjenigen Partnerhochschulen eingeschrieben sein, an denen die Studierenden der PH Zug im entsprechenden Semester ihren Aufenthalt absolvieren. Die Bezeichnungen im revidierten Gesetzestext sollen sich an den durch «movetia», der </w:t>
      </w:r>
      <w:r w:rsidRPr="001972FB">
        <w:t>Nationale</w:t>
      </w:r>
      <w:r>
        <w:t>n</w:t>
      </w:r>
      <w:r w:rsidRPr="001972FB">
        <w:t xml:space="preserve"> Agentur für Austausch und Mobilität</w:t>
      </w:r>
      <w:r>
        <w:t xml:space="preserve">, üblicherweise verwendeten und vom International Office der PH Zug übernommenen </w:t>
      </w:r>
      <w:r w:rsidRPr="008C7E98">
        <w:t>Bezeichnungen («</w:t>
      </w:r>
      <w:r>
        <w:t>Gaststudierende</w:t>
      </w:r>
      <w:r w:rsidRPr="008C7E98">
        <w:t>»</w:t>
      </w:r>
      <w:r>
        <w:t xml:space="preserve">, «Gastaufenthalt», </w:t>
      </w:r>
      <w:r w:rsidRPr="008C7E98">
        <w:t>«Mobilität</w:t>
      </w:r>
      <w:r>
        <w:t>sprogramme</w:t>
      </w:r>
      <w:r w:rsidRPr="008C7E98">
        <w:t>»)</w:t>
      </w:r>
      <w:r>
        <w:t xml:space="preserve"> orientieren. Dabei sind jeweils g</w:t>
      </w:r>
      <w:r w:rsidRPr="005E3052">
        <w:t>eschlechtsindifferente Bezeichnungen</w:t>
      </w:r>
      <w:r>
        <w:t xml:space="preserve"> zu verwenden (auch im Paragraphentitel). </w:t>
      </w:r>
    </w:p>
    <w:p w14:paraId="57203E89" w14:textId="77777777" w:rsidR="00682F17" w:rsidRDefault="00682F17" w:rsidP="007D06B7">
      <w:pPr>
        <w:rPr>
          <w:b/>
          <w:bCs/>
        </w:rPr>
      </w:pPr>
    </w:p>
    <w:p w14:paraId="0B0BDFE5" w14:textId="77777777" w:rsidR="007D06B7" w:rsidRDefault="007D06B7" w:rsidP="007D06B7">
      <w:pPr>
        <w:rPr>
          <w:b/>
          <w:bCs/>
        </w:rPr>
      </w:pPr>
      <w:r w:rsidRPr="007E605B">
        <w:rPr>
          <w:b/>
          <w:bCs/>
        </w:rPr>
        <w:t xml:space="preserve">§ 28 Organisation </w:t>
      </w:r>
      <w:r>
        <w:rPr>
          <w:b/>
          <w:bCs/>
        </w:rPr>
        <w:t>von Mitarbeitenden und</w:t>
      </w:r>
      <w:r w:rsidRPr="007E605B">
        <w:rPr>
          <w:b/>
          <w:bCs/>
        </w:rPr>
        <w:t xml:space="preserve"> Studierenden</w:t>
      </w:r>
    </w:p>
    <w:p w14:paraId="61990AAA" w14:textId="2278A5C0" w:rsidR="007D06B7" w:rsidRDefault="007D06B7" w:rsidP="002674EE">
      <w:pPr>
        <w:spacing w:before="120" w:after="120"/>
      </w:pPr>
      <w:r>
        <w:t xml:space="preserve">Wie bereits angeführt (vgl. Kap. 2 sowie § 10), hat die Partizipation von Mitarbeitenden und Studierenden an der PH Zug einen grossen Stellenwert. Zusätzlich zur StudOrg soll auch die MO Eingang in das Gesetz finden (vgl. dazu auch das Organisationsreglement der PH Zug). </w:t>
      </w:r>
    </w:p>
    <w:p w14:paraId="473AF79F" w14:textId="2B522102" w:rsidR="007D06B7" w:rsidRDefault="007D06B7" w:rsidP="007D06B7">
      <w:r w:rsidRPr="001972FB">
        <w:lastRenderedPageBreak/>
        <w:t xml:space="preserve">Die </w:t>
      </w:r>
      <w:r>
        <w:t>O</w:t>
      </w:r>
      <w:r w:rsidRPr="001972FB">
        <w:t>rganisation</w:t>
      </w:r>
      <w:r>
        <w:t xml:space="preserve">en geben </w:t>
      </w:r>
      <w:r w:rsidRPr="001972FB">
        <w:t>sich eine</w:t>
      </w:r>
      <w:r>
        <w:t xml:space="preserve"> so bezeichnete</w:t>
      </w:r>
      <w:r w:rsidRPr="001972FB">
        <w:t xml:space="preserve"> </w:t>
      </w:r>
      <w:r w:rsidRPr="00E73431">
        <w:rPr>
          <w:iCs/>
        </w:rPr>
        <w:t>Geschäfts</w:t>
      </w:r>
      <w:r w:rsidRPr="00E73431">
        <w:t>ordnung</w:t>
      </w:r>
      <w:r>
        <w:t xml:space="preserve">, die durch die </w:t>
      </w:r>
      <w:r w:rsidRPr="00E73431">
        <w:rPr>
          <w:iCs/>
        </w:rPr>
        <w:t>H</w:t>
      </w:r>
      <w:r w:rsidR="00327AAC" w:rsidRPr="00E73431">
        <w:rPr>
          <w:iCs/>
        </w:rPr>
        <w:t>SL</w:t>
      </w:r>
      <w:r>
        <w:t xml:space="preserve"> zu genehmigen ist </w:t>
      </w:r>
      <w:r w:rsidRPr="00B432D9">
        <w:t>(vgl. auch</w:t>
      </w:r>
      <w:r>
        <w:t xml:space="preserve"> hierzu</w:t>
      </w:r>
      <w:r w:rsidRPr="00B432D9">
        <w:t xml:space="preserve"> das Organisationsreglement der PH Zug).</w:t>
      </w:r>
    </w:p>
    <w:p w14:paraId="3C3A5CC3" w14:textId="77777777" w:rsidR="00682F17" w:rsidRPr="00B432D9" w:rsidRDefault="00682F17" w:rsidP="007D06B7"/>
    <w:p w14:paraId="2605820D" w14:textId="7C14386C" w:rsidR="007D06B7" w:rsidRDefault="0028556C" w:rsidP="0028556C">
      <w:pPr>
        <w:pStyle w:val="berschrift2"/>
        <w:keepLines/>
        <w:numPr>
          <w:ilvl w:val="0"/>
          <w:numId w:val="0"/>
        </w:numPr>
        <w:spacing w:before="0"/>
      </w:pPr>
      <w:r>
        <w:t xml:space="preserve">5.7. </w:t>
      </w:r>
      <w:r w:rsidR="007D06B7" w:rsidRPr="00E827AA">
        <w:t>Übergangsbestimmungen</w:t>
      </w:r>
    </w:p>
    <w:p w14:paraId="4EF03067" w14:textId="77777777" w:rsidR="009C2EBC" w:rsidRPr="009C2EBC" w:rsidRDefault="009C2EBC" w:rsidP="009C2EBC">
      <w:pPr>
        <w:pStyle w:val="Textkrper"/>
      </w:pPr>
    </w:p>
    <w:p w14:paraId="3C5B0510" w14:textId="77777777" w:rsidR="007D06B7" w:rsidRDefault="007D06B7" w:rsidP="007D06B7">
      <w:pPr>
        <w:rPr>
          <w:b/>
          <w:bCs/>
        </w:rPr>
      </w:pPr>
      <w:r w:rsidRPr="007E605B">
        <w:rPr>
          <w:b/>
          <w:bCs/>
        </w:rPr>
        <w:t>§ 34 Vorkehrungen zur Verselbständigung</w:t>
      </w:r>
    </w:p>
    <w:p w14:paraId="0ADE1693" w14:textId="77777777" w:rsidR="007D06B7" w:rsidRPr="007C52E6" w:rsidRDefault="007D06B7" w:rsidP="002674EE">
      <w:pPr>
        <w:spacing w:before="120"/>
      </w:pPr>
      <w:r>
        <w:t xml:space="preserve">Diese Bestimmung ist knapp acht Jahre nach Auflösung des PHZ-Konkordats nicht mehr aktuell und daher in ihrer Gesamtheit aufzuheben. </w:t>
      </w:r>
    </w:p>
    <w:p w14:paraId="0514BE21" w14:textId="77777777" w:rsidR="007D06B7" w:rsidRPr="007E605B" w:rsidRDefault="007D06B7" w:rsidP="007D06B7">
      <w:pPr>
        <w:rPr>
          <w:b/>
          <w:bCs/>
        </w:rPr>
      </w:pPr>
    </w:p>
    <w:p w14:paraId="07CE985C" w14:textId="77777777" w:rsidR="007D06B7" w:rsidRDefault="007D06B7" w:rsidP="007D06B7">
      <w:pPr>
        <w:rPr>
          <w:b/>
          <w:bCs/>
        </w:rPr>
      </w:pPr>
      <w:r w:rsidRPr="007E605B">
        <w:rPr>
          <w:b/>
          <w:bCs/>
        </w:rPr>
        <w:t>§ 35 Personal</w:t>
      </w:r>
    </w:p>
    <w:p w14:paraId="1BB7C6E2" w14:textId="77777777" w:rsidR="007D06B7" w:rsidRPr="007C52E6" w:rsidRDefault="007D06B7" w:rsidP="002674EE">
      <w:pPr>
        <w:spacing w:before="120"/>
      </w:pPr>
      <w:r>
        <w:t xml:space="preserve">Die Absätze 1–3 dieser Bestimmungen sind ebenfalls nicht mehr aktuell und aus diesem Grund aufzuheben. </w:t>
      </w:r>
    </w:p>
    <w:p w14:paraId="74558E2F" w14:textId="77777777" w:rsidR="007D06B7" w:rsidRPr="007E605B" w:rsidRDefault="007D06B7" w:rsidP="007D06B7">
      <w:pPr>
        <w:rPr>
          <w:b/>
          <w:bCs/>
        </w:rPr>
      </w:pPr>
    </w:p>
    <w:p w14:paraId="113CA939" w14:textId="77777777" w:rsidR="007D06B7" w:rsidRDefault="007D06B7" w:rsidP="007D06B7">
      <w:pPr>
        <w:rPr>
          <w:b/>
          <w:bCs/>
        </w:rPr>
      </w:pPr>
      <w:r w:rsidRPr="007E605B">
        <w:rPr>
          <w:b/>
          <w:bCs/>
        </w:rPr>
        <w:t>§ 36 Studierende</w:t>
      </w:r>
    </w:p>
    <w:p w14:paraId="5F34A4D4" w14:textId="77777777" w:rsidR="007D06B7" w:rsidRDefault="007D06B7" w:rsidP="002674EE">
      <w:pPr>
        <w:spacing w:before="120"/>
      </w:pPr>
      <w:r>
        <w:t xml:space="preserve">Auch diese Bestimmung ist nicht mehr aktuell und daher in ihrer Gesamtheit aufzuheben. </w:t>
      </w:r>
    </w:p>
    <w:p w14:paraId="01A450E8" w14:textId="77777777" w:rsidR="007D06B7" w:rsidRPr="007C52E6" w:rsidRDefault="007D06B7" w:rsidP="006C27A0"/>
    <w:p w14:paraId="17C07960" w14:textId="77777777" w:rsidR="007D06B7" w:rsidRDefault="007D06B7" w:rsidP="007D06B7">
      <w:pPr>
        <w:rPr>
          <w:b/>
          <w:bCs/>
        </w:rPr>
      </w:pPr>
      <w:r w:rsidRPr="007E605B">
        <w:rPr>
          <w:b/>
          <w:bCs/>
        </w:rPr>
        <w:t>§ 37 Hängige Verfahren</w:t>
      </w:r>
    </w:p>
    <w:p w14:paraId="4DFD07FB" w14:textId="77777777" w:rsidR="007D06B7" w:rsidRPr="008179BC" w:rsidRDefault="007D06B7" w:rsidP="00E41056">
      <w:pPr>
        <w:spacing w:before="120"/>
      </w:pPr>
      <w:r>
        <w:t>Es existieren keine hängigen Verfahren mehr, weshalb auch diese Bestimmung aufzuheben ist.</w:t>
      </w:r>
    </w:p>
    <w:p w14:paraId="69704E4A" w14:textId="1DB4537D" w:rsidR="007C524A" w:rsidRDefault="007C524A" w:rsidP="007D06B7">
      <w:pPr>
        <w:autoSpaceDE w:val="0"/>
        <w:autoSpaceDN w:val="0"/>
        <w:adjustRightInd w:val="0"/>
        <w:rPr>
          <w:rFonts w:cs="Arial"/>
        </w:rPr>
      </w:pPr>
    </w:p>
    <w:p w14:paraId="29F3A612" w14:textId="77777777" w:rsidR="00C50C1E" w:rsidRDefault="00C50C1E" w:rsidP="007D06B7">
      <w:pPr>
        <w:autoSpaceDE w:val="0"/>
        <w:autoSpaceDN w:val="0"/>
        <w:adjustRightInd w:val="0"/>
        <w:rPr>
          <w:rFonts w:cs="Arial"/>
        </w:rPr>
      </w:pPr>
    </w:p>
    <w:p w14:paraId="5E1352AF" w14:textId="77777777" w:rsidR="00C50C1E" w:rsidRPr="00C50C1E" w:rsidRDefault="00C50C1E" w:rsidP="007D06B7">
      <w:pPr>
        <w:autoSpaceDE w:val="0"/>
        <w:autoSpaceDN w:val="0"/>
        <w:adjustRightInd w:val="0"/>
        <w:rPr>
          <w:rFonts w:cs="Arial"/>
          <w:b/>
        </w:rPr>
      </w:pPr>
      <w:r w:rsidRPr="00C50C1E">
        <w:rPr>
          <w:rFonts w:cs="Arial"/>
          <w:b/>
        </w:rPr>
        <w:t>6.</w:t>
      </w:r>
      <w:r w:rsidRPr="00C50C1E">
        <w:rPr>
          <w:rFonts w:cs="Arial"/>
          <w:b/>
        </w:rPr>
        <w:tab/>
        <w:t>Inkrafttreten</w:t>
      </w:r>
    </w:p>
    <w:p w14:paraId="160963D6" w14:textId="77777777" w:rsidR="00C50C1E" w:rsidRDefault="00C50C1E" w:rsidP="007D06B7">
      <w:pPr>
        <w:autoSpaceDE w:val="0"/>
        <w:autoSpaceDN w:val="0"/>
        <w:adjustRightInd w:val="0"/>
        <w:rPr>
          <w:rFonts w:cs="Arial"/>
        </w:rPr>
      </w:pPr>
    </w:p>
    <w:p w14:paraId="0A9AAAFE" w14:textId="127459B4" w:rsidR="008544C8" w:rsidRDefault="00C50C1E" w:rsidP="007D06B7">
      <w:pPr>
        <w:autoSpaceDE w:val="0"/>
        <w:autoSpaceDN w:val="0"/>
        <w:adjustRightInd w:val="0"/>
      </w:pPr>
      <w:r>
        <w:t>Eine rückwirkende Inkraftsetzung</w:t>
      </w:r>
      <w:r w:rsidR="008544C8">
        <w:t xml:space="preserve"> auf den 1. Januar 2024 und damit die Koordination mit den Änderungen aufgrund des Projekts Anstellungsbedingen</w:t>
      </w:r>
      <w:r w:rsidR="00687B52">
        <w:t xml:space="preserve">, welche auch </w:t>
      </w:r>
      <w:r w:rsidR="00687B52">
        <w:rPr>
          <w:rFonts w:cs="Arial"/>
        </w:rPr>
        <w:t>am 1. Januar 2024 in Kraft treten</w:t>
      </w:r>
      <w:r w:rsidR="00687B52">
        <w:t xml:space="preserve"> </w:t>
      </w:r>
      <w:r w:rsidR="008544C8">
        <w:t xml:space="preserve">– </w:t>
      </w:r>
      <w:r w:rsidR="00687B52">
        <w:t xml:space="preserve"> und </w:t>
      </w:r>
      <w:r w:rsidR="008544C8">
        <w:t xml:space="preserve">von denen </w:t>
      </w:r>
      <w:r w:rsidR="008544C8">
        <w:rPr>
          <w:rFonts w:cs="Arial"/>
        </w:rPr>
        <w:t>die Mitarbeitenden der PH Zug mitbetroffen sind</w:t>
      </w:r>
      <w:r w:rsidR="00687B52">
        <w:rPr>
          <w:rFonts w:cs="Arial"/>
        </w:rPr>
        <w:t xml:space="preserve"> –</w:t>
      </w:r>
      <w:r w:rsidR="008544C8">
        <w:rPr>
          <w:rFonts w:cs="Arial"/>
        </w:rPr>
        <w:t xml:space="preserve"> </w:t>
      </w:r>
      <w:r w:rsidR="008544C8">
        <w:t xml:space="preserve">ist vorliegend </w:t>
      </w:r>
      <w:r w:rsidR="00C97F3D">
        <w:t>angezeigt</w:t>
      </w:r>
      <w:r>
        <w:t xml:space="preserve">. </w:t>
      </w:r>
      <w:r w:rsidR="008544C8">
        <w:t xml:space="preserve">Die rückwirkende Inkraftsetzung </w:t>
      </w:r>
      <w:r>
        <w:t>ist zeitlich mässig</w:t>
      </w:r>
      <w:r w:rsidR="008544C8">
        <w:t xml:space="preserve">, </w:t>
      </w:r>
      <w:r>
        <w:t>führt weder zu einer stossenden Rechtsungleichheit noch stellt sie einen Eingriff in wohlerworbene Rechte dar</w:t>
      </w:r>
      <w:r w:rsidR="008544C8">
        <w:t>.</w:t>
      </w:r>
      <w:r w:rsidR="005463FC">
        <w:t xml:space="preserve"> Ausserdem handelt es sich um eine begünstigende Rückwirkung</w:t>
      </w:r>
      <w:r w:rsidR="005414F6">
        <w:t>.</w:t>
      </w:r>
    </w:p>
    <w:p w14:paraId="7F27FEAF" w14:textId="15376E99" w:rsidR="007D06B7" w:rsidRDefault="000C65C3" w:rsidP="007D06B7">
      <w:pPr>
        <w:autoSpaceDE w:val="0"/>
        <w:autoSpaceDN w:val="0"/>
        <w:adjustRightInd w:val="0"/>
        <w:rPr>
          <w:rFonts w:cs="Arial"/>
        </w:rPr>
      </w:pPr>
      <w:r>
        <w:rPr>
          <w:rFonts w:cs="Arial"/>
        </w:rPr>
        <w:tab/>
      </w:r>
      <w:r>
        <w:rPr>
          <w:rFonts w:cs="Arial"/>
        </w:rPr>
        <w:tab/>
      </w:r>
    </w:p>
    <w:p w14:paraId="49D90C9A" w14:textId="77777777" w:rsidR="000C65C3" w:rsidRPr="00642D18" w:rsidRDefault="000C65C3" w:rsidP="007D06B7">
      <w:pPr>
        <w:autoSpaceDE w:val="0"/>
        <w:autoSpaceDN w:val="0"/>
        <w:adjustRightInd w:val="0"/>
        <w:rPr>
          <w:rFonts w:cs="Arial"/>
        </w:rPr>
      </w:pPr>
    </w:p>
    <w:p w14:paraId="3C6287A5" w14:textId="464444B8" w:rsidR="007D06B7" w:rsidRPr="00682F17" w:rsidRDefault="00C50C1E" w:rsidP="00682F17">
      <w:pPr>
        <w:autoSpaceDE w:val="0"/>
        <w:autoSpaceDN w:val="0"/>
        <w:adjustRightInd w:val="0"/>
        <w:ind w:left="567" w:hanging="567"/>
        <w:outlineLvl w:val="0"/>
        <w:rPr>
          <w:rFonts w:cs="Arial"/>
          <w:b/>
          <w:bCs/>
        </w:rPr>
      </w:pPr>
      <w:r>
        <w:rPr>
          <w:rFonts w:cs="Arial"/>
          <w:b/>
          <w:bCs/>
        </w:rPr>
        <w:t>7</w:t>
      </w:r>
      <w:r w:rsidR="007D06B7" w:rsidRPr="00682F17">
        <w:rPr>
          <w:rFonts w:cs="Arial"/>
          <w:b/>
          <w:bCs/>
        </w:rPr>
        <w:t xml:space="preserve">. </w:t>
      </w:r>
      <w:r w:rsidR="000C65C3">
        <w:rPr>
          <w:rFonts w:cs="Arial"/>
          <w:b/>
          <w:bCs/>
        </w:rPr>
        <w:tab/>
      </w:r>
      <w:r w:rsidR="007D06B7" w:rsidRPr="00682F17">
        <w:rPr>
          <w:rFonts w:cs="Arial"/>
          <w:b/>
          <w:bCs/>
        </w:rPr>
        <w:t>Fremdänderung</w:t>
      </w:r>
    </w:p>
    <w:p w14:paraId="2AFA9963" w14:textId="26C55E2B" w:rsidR="007D06B7" w:rsidRDefault="007D06B7" w:rsidP="007D06B7">
      <w:pPr>
        <w:autoSpaceDE w:val="0"/>
        <w:autoSpaceDN w:val="0"/>
        <w:adjustRightInd w:val="0"/>
        <w:rPr>
          <w:rFonts w:cs="Arial"/>
          <w:b/>
        </w:rPr>
      </w:pPr>
    </w:p>
    <w:p w14:paraId="6ADB39A3" w14:textId="2A10BF02" w:rsidR="007D06B7" w:rsidRDefault="007D06B7" w:rsidP="00E41056">
      <w:pPr>
        <w:autoSpaceDE w:val="0"/>
        <w:autoSpaceDN w:val="0"/>
        <w:adjustRightInd w:val="0"/>
        <w:spacing w:after="120"/>
      </w:pPr>
      <w:r>
        <w:t xml:space="preserve">Der aufgehobene § 21 PHG enthielt in Abs. 1 lit. c die Lohnklasse für </w:t>
      </w:r>
      <w:r w:rsidRPr="000D567A">
        <w:t>«besondere wissenschaftliche</w:t>
      </w:r>
      <w:r>
        <w:t xml:space="preserve"> Mitarbeitende». Neu gibt es gemäss § 20a Abs. 1 lit. </w:t>
      </w:r>
      <w:r w:rsidR="007202C4">
        <w:t>d</w:t>
      </w:r>
      <w:r>
        <w:t xml:space="preserve"> PHG keine Personalkategorie der </w:t>
      </w:r>
      <w:r w:rsidRPr="000D567A">
        <w:t xml:space="preserve">«besonderen </w:t>
      </w:r>
      <w:r>
        <w:t xml:space="preserve">wissenschaftlichen Mitarbeitenden» mehr. Diese Personalkategorie wird </w:t>
      </w:r>
      <w:r w:rsidRPr="000D567A">
        <w:t>neu «wissenschaftliche Mitarbeitende»</w:t>
      </w:r>
      <w:r>
        <w:t xml:space="preserve"> genannt</w:t>
      </w:r>
      <w:r w:rsidR="000C45E1">
        <w:t>.</w:t>
      </w:r>
    </w:p>
    <w:p w14:paraId="32A26216" w14:textId="50BB6451" w:rsidR="007D06B7" w:rsidRPr="001B66C2" w:rsidRDefault="007D06B7" w:rsidP="001B66C2">
      <w:pPr>
        <w:autoSpaceDE w:val="0"/>
        <w:autoSpaceDN w:val="0"/>
        <w:adjustRightInd w:val="0"/>
        <w:spacing w:before="120"/>
        <w:rPr>
          <w:rFonts w:cs="Arial"/>
        </w:rPr>
      </w:pPr>
      <w:r w:rsidRPr="00A572BF">
        <w:rPr>
          <w:rFonts w:cs="Arial"/>
        </w:rPr>
        <w:t xml:space="preserve">Im </w:t>
      </w:r>
      <w:r w:rsidR="001B66C2">
        <w:rPr>
          <w:rFonts w:cs="Arial"/>
        </w:rPr>
        <w:t xml:space="preserve">aufgrund des Projekts Anstellungsbedingungen </w:t>
      </w:r>
      <w:r w:rsidR="00C16BC2">
        <w:rPr>
          <w:rFonts w:cs="Arial"/>
        </w:rPr>
        <w:t>revidierten</w:t>
      </w:r>
      <w:r>
        <w:rPr>
          <w:rFonts w:cs="Arial"/>
        </w:rPr>
        <w:t xml:space="preserve"> Personalgese</w:t>
      </w:r>
      <w:r w:rsidR="00C16BC2">
        <w:rPr>
          <w:rFonts w:cs="Arial"/>
        </w:rPr>
        <w:t>tz</w:t>
      </w:r>
      <w:r>
        <w:rPr>
          <w:rFonts w:cs="Arial"/>
        </w:rPr>
        <w:t xml:space="preserve"> </w:t>
      </w:r>
      <w:r w:rsidRPr="00A572BF">
        <w:rPr>
          <w:rFonts w:cs="Arial"/>
        </w:rPr>
        <w:t xml:space="preserve">werden </w:t>
      </w:r>
      <w:r>
        <w:rPr>
          <w:rFonts w:cs="Arial"/>
        </w:rPr>
        <w:t xml:space="preserve">jedoch nach wie vor </w:t>
      </w:r>
      <w:r w:rsidRPr="00A572BF">
        <w:rPr>
          <w:rFonts w:cs="Arial"/>
        </w:rPr>
        <w:t>in §</w:t>
      </w:r>
      <w:r>
        <w:rPr>
          <w:rFonts w:cs="Arial"/>
        </w:rPr>
        <w:t xml:space="preserve"> </w:t>
      </w:r>
      <w:r w:rsidRPr="00A572BF">
        <w:rPr>
          <w:rFonts w:cs="Arial"/>
        </w:rPr>
        <w:t>44</w:t>
      </w:r>
      <w:r w:rsidRPr="00A572BF">
        <w:rPr>
          <w:rFonts w:cs="Arial"/>
          <w:vertAlign w:val="superscript"/>
        </w:rPr>
        <w:t xml:space="preserve">bis </w:t>
      </w:r>
      <w:r w:rsidRPr="00DB72DA">
        <w:rPr>
          <w:rFonts w:cs="Arial"/>
        </w:rPr>
        <w:t>Abs. 5</w:t>
      </w:r>
      <w:r>
        <w:rPr>
          <w:rFonts w:cs="Arial"/>
          <w:vertAlign w:val="superscript"/>
        </w:rPr>
        <w:t xml:space="preserve"> </w:t>
      </w:r>
      <w:r w:rsidRPr="00A572BF">
        <w:rPr>
          <w:rFonts w:cs="Arial"/>
        </w:rPr>
        <w:t xml:space="preserve">die </w:t>
      </w:r>
      <w:r>
        <w:rPr>
          <w:rFonts w:cs="Arial"/>
        </w:rPr>
        <w:t>«</w:t>
      </w:r>
      <w:r w:rsidRPr="000D567A">
        <w:rPr>
          <w:rFonts w:cs="Arial"/>
        </w:rPr>
        <w:t>besonderen wissenschaftlichen</w:t>
      </w:r>
      <w:r w:rsidRPr="00A572BF">
        <w:rPr>
          <w:rFonts w:cs="Arial"/>
        </w:rPr>
        <w:t xml:space="preserve"> Mitarbeitenden</w:t>
      </w:r>
      <w:r>
        <w:rPr>
          <w:rFonts w:cs="Arial"/>
        </w:rPr>
        <w:t>»</w:t>
      </w:r>
      <w:r w:rsidRPr="00A572BF">
        <w:rPr>
          <w:rFonts w:cs="Arial"/>
        </w:rPr>
        <w:t xml:space="preserve"> erwähnt, wobei die </w:t>
      </w:r>
      <w:r>
        <w:rPr>
          <w:rFonts w:cs="Arial"/>
        </w:rPr>
        <w:t>«</w:t>
      </w:r>
      <w:r w:rsidRPr="00A572BF">
        <w:rPr>
          <w:rFonts w:cs="Arial"/>
        </w:rPr>
        <w:t>wissenschaftlichen Mitarbeitenden</w:t>
      </w:r>
      <w:r>
        <w:rPr>
          <w:rFonts w:cs="Arial"/>
        </w:rPr>
        <w:t>» bei der Aufzählung des Hochschulpersonals</w:t>
      </w:r>
      <w:r w:rsidRPr="00A572BF">
        <w:rPr>
          <w:rFonts w:cs="Arial"/>
        </w:rPr>
        <w:t xml:space="preserve"> fehlen</w:t>
      </w:r>
      <w:r w:rsidR="00C16BC2">
        <w:rPr>
          <w:rFonts w:cs="Arial"/>
        </w:rPr>
        <w:t>.</w:t>
      </w:r>
      <w:r w:rsidR="001B66C2">
        <w:rPr>
          <w:rFonts w:cs="Arial"/>
        </w:rPr>
        <w:t xml:space="preserve"> </w:t>
      </w:r>
      <w:r w:rsidRPr="00DB72DA">
        <w:rPr>
          <w:rFonts w:cs="Arial"/>
        </w:rPr>
        <w:t>Um diese Inkonsistenz zwischen dem PHG und dem P</w:t>
      </w:r>
      <w:r>
        <w:rPr>
          <w:rFonts w:cs="Arial"/>
        </w:rPr>
        <w:t>ersonalgesetz</w:t>
      </w:r>
      <w:r w:rsidRPr="00DB72DA">
        <w:rPr>
          <w:rFonts w:cs="Arial"/>
        </w:rPr>
        <w:t xml:space="preserve"> zu beseitigen, wird eine Fremdänderung des </w:t>
      </w:r>
      <w:r w:rsidRPr="00532969">
        <w:t>§ 44</w:t>
      </w:r>
      <w:r w:rsidRPr="00AA33C3">
        <w:rPr>
          <w:vertAlign w:val="superscript"/>
        </w:rPr>
        <w:t>bis</w:t>
      </w:r>
      <w:r w:rsidRPr="00532969">
        <w:t xml:space="preserve"> Abs</w:t>
      </w:r>
      <w:r>
        <w:t>.</w:t>
      </w:r>
      <w:r w:rsidRPr="00532969">
        <w:t xml:space="preserve"> 5 </w:t>
      </w:r>
      <w:r w:rsidR="001B66C2">
        <w:t>des Personalgesetzes</w:t>
      </w:r>
      <w:r w:rsidRPr="00604583">
        <w:t xml:space="preserve"> beantragt</w:t>
      </w:r>
      <w:r>
        <w:t>, indem bei der Aufzählung bezüglich der Teile des Hochschulpersonals der Be</w:t>
      </w:r>
      <w:r w:rsidRPr="000D567A">
        <w:t>griff «besondere wissenschaftliche Mitarbeitende» durch «wissenschaftliche Mitarbeitende» ersetzt wird</w:t>
      </w:r>
      <w:r w:rsidR="001B66C2">
        <w:t>.</w:t>
      </w:r>
      <w:r w:rsidR="00360855">
        <w:t xml:space="preserve"> Auch zu ergänzen sind die Lehrbeauftragten, welche ebenfalls den vierfachen Auftrag erfüllen und deshalb folgerichtig auch aufgeführt werden müssen.</w:t>
      </w:r>
    </w:p>
    <w:p w14:paraId="74099937" w14:textId="77777777" w:rsidR="00576996" w:rsidRPr="002F6761" w:rsidRDefault="00576996" w:rsidP="004713EE"/>
    <w:p w14:paraId="2F47CF37" w14:textId="77777777" w:rsidR="006C27A0" w:rsidRDefault="006C27A0" w:rsidP="004713EE"/>
    <w:p w14:paraId="70E52ABF" w14:textId="440D14FE" w:rsidR="007D06B7" w:rsidRPr="006C6E22" w:rsidRDefault="00C50C1E" w:rsidP="00682F17">
      <w:pPr>
        <w:autoSpaceDE w:val="0"/>
        <w:autoSpaceDN w:val="0"/>
        <w:adjustRightInd w:val="0"/>
        <w:ind w:left="567" w:hanging="567"/>
        <w:outlineLvl w:val="0"/>
        <w:rPr>
          <w:rFonts w:cs="Arial"/>
          <w:b/>
          <w:bCs/>
        </w:rPr>
      </w:pPr>
      <w:r>
        <w:rPr>
          <w:rFonts w:cs="Arial"/>
          <w:b/>
          <w:bCs/>
        </w:rPr>
        <w:t>8</w:t>
      </w:r>
      <w:r w:rsidR="007D06B7" w:rsidRPr="006C6E22">
        <w:rPr>
          <w:rFonts w:cs="Arial"/>
          <w:b/>
          <w:bCs/>
        </w:rPr>
        <w:t>.</w:t>
      </w:r>
      <w:r w:rsidR="007D06B7">
        <w:rPr>
          <w:rFonts w:cs="Arial"/>
          <w:b/>
          <w:bCs/>
        </w:rPr>
        <w:t xml:space="preserve"> </w:t>
      </w:r>
      <w:r w:rsidR="00682F17">
        <w:rPr>
          <w:rFonts w:cs="Arial"/>
          <w:b/>
          <w:bCs/>
        </w:rPr>
        <w:tab/>
      </w:r>
      <w:r w:rsidR="007D06B7" w:rsidRPr="006C6E22">
        <w:rPr>
          <w:rFonts w:cs="Arial"/>
          <w:b/>
          <w:bCs/>
        </w:rPr>
        <w:t>Finanzielle Auswirkungen und Anpassungen von Leistungsaufträgen</w:t>
      </w:r>
    </w:p>
    <w:p w14:paraId="22A5E351" w14:textId="77777777" w:rsidR="007D06B7" w:rsidRDefault="007D06B7" w:rsidP="007D06B7">
      <w:pPr>
        <w:autoSpaceDE w:val="0"/>
        <w:autoSpaceDN w:val="0"/>
        <w:adjustRightInd w:val="0"/>
        <w:rPr>
          <w:rFonts w:cs="Arial"/>
        </w:rPr>
      </w:pPr>
    </w:p>
    <w:p w14:paraId="2CA16AA9" w14:textId="44EB3F6C" w:rsidR="007D06B7" w:rsidRDefault="00C50C1E" w:rsidP="00146B6F">
      <w:pPr>
        <w:ind w:left="567" w:hanging="567"/>
        <w:rPr>
          <w:rFonts w:cs="Arial"/>
        </w:rPr>
      </w:pPr>
      <w:r>
        <w:rPr>
          <w:rFonts w:cs="Arial"/>
        </w:rPr>
        <w:t>8</w:t>
      </w:r>
      <w:r w:rsidR="00146B6F">
        <w:rPr>
          <w:rFonts w:cs="Arial"/>
        </w:rPr>
        <w:t>.</w:t>
      </w:r>
      <w:r w:rsidR="007D06B7">
        <w:rPr>
          <w:rFonts w:cs="Arial"/>
        </w:rPr>
        <w:t xml:space="preserve">1. </w:t>
      </w:r>
      <w:r w:rsidR="00DE618D">
        <w:rPr>
          <w:rFonts w:cs="Arial"/>
        </w:rPr>
        <w:tab/>
      </w:r>
      <w:r w:rsidR="007D06B7">
        <w:rPr>
          <w:rFonts w:cs="Arial"/>
        </w:rPr>
        <w:t xml:space="preserve">Finanzielle Auswirkungen auf den </w:t>
      </w:r>
      <w:r w:rsidR="007D06B7" w:rsidRPr="00893C58">
        <w:rPr>
          <w:rFonts w:cs="Arial"/>
        </w:rPr>
        <w:t>Kanton</w:t>
      </w:r>
    </w:p>
    <w:p w14:paraId="4B0C68B2" w14:textId="77777777" w:rsidR="000267A1" w:rsidRDefault="000267A1" w:rsidP="00146B6F">
      <w:pPr>
        <w:ind w:left="567" w:hanging="567"/>
        <w:rPr>
          <w:rFonts w:cs="Arial"/>
          <w:highlight w:val="yellow"/>
        </w:rPr>
      </w:pPr>
    </w:p>
    <w:p w14:paraId="13B1DD34" w14:textId="44E9F90C" w:rsidR="000267A1" w:rsidRDefault="000267A1" w:rsidP="000267A1">
      <w:r w:rsidRPr="009B1A08">
        <w:t xml:space="preserve">Die finanziellen Auswirkungen </w:t>
      </w:r>
      <w:r>
        <w:t>wurden im Rahmen des Projektes Anstellungsbedingungen berechnet und sind wie folgt</w:t>
      </w:r>
      <w:r w:rsidR="00BF5D62">
        <w:t xml:space="preserve"> (vgl. nachfolgende Tabelle mit den Angaben in den jeweiligen Kapiteln im Bericht und Antrag des Projekts Anstellungsbedingungen)</w:t>
      </w:r>
      <w:r>
        <w:t>:</w:t>
      </w:r>
    </w:p>
    <w:p w14:paraId="0D903AFE" w14:textId="77777777" w:rsidR="002F6761" w:rsidRDefault="002F6761" w:rsidP="000267A1"/>
    <w:p w14:paraId="297FE03F" w14:textId="77777777" w:rsidR="000267A1" w:rsidRDefault="000267A1" w:rsidP="000267A1"/>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8"/>
        <w:gridCol w:w="1418"/>
        <w:gridCol w:w="2835"/>
      </w:tblGrid>
      <w:tr w:rsidR="000267A1" w14:paraId="6E3432F2" w14:textId="77777777" w:rsidTr="004713EE">
        <w:tc>
          <w:tcPr>
            <w:tcW w:w="4668" w:type="dxa"/>
            <w:tcBorders>
              <w:top w:val="single" w:sz="8" w:space="0" w:color="auto"/>
              <w:left w:val="single" w:sz="4" w:space="0" w:color="auto"/>
              <w:bottom w:val="single" w:sz="8" w:space="0" w:color="auto"/>
              <w:right w:val="single" w:sz="4" w:space="0" w:color="auto"/>
            </w:tcBorders>
            <w:shd w:val="clear" w:color="auto" w:fill="E0E0E0"/>
          </w:tcPr>
          <w:p w14:paraId="29CA87E3" w14:textId="77777777" w:rsidR="000267A1" w:rsidRPr="00F61DC8" w:rsidRDefault="000267A1" w:rsidP="004713EE">
            <w:pPr>
              <w:rPr>
                <w:rFonts w:cs="Arial"/>
                <w:b/>
              </w:rPr>
            </w:pPr>
            <w:r>
              <w:rPr>
                <w:rFonts w:cs="Arial"/>
                <w:b/>
              </w:rPr>
              <w:t>Anpassungen</w:t>
            </w:r>
          </w:p>
        </w:tc>
        <w:tc>
          <w:tcPr>
            <w:tcW w:w="1418" w:type="dxa"/>
            <w:tcBorders>
              <w:top w:val="single" w:sz="8" w:space="0" w:color="auto"/>
              <w:left w:val="single" w:sz="4" w:space="0" w:color="auto"/>
              <w:bottom w:val="single" w:sz="8" w:space="0" w:color="auto"/>
              <w:right w:val="single" w:sz="4" w:space="0" w:color="auto"/>
            </w:tcBorders>
            <w:shd w:val="clear" w:color="auto" w:fill="E0E0E0"/>
          </w:tcPr>
          <w:p w14:paraId="59CBCF61" w14:textId="77777777" w:rsidR="000267A1" w:rsidRPr="00F61DC8" w:rsidRDefault="000267A1" w:rsidP="004713EE">
            <w:pPr>
              <w:jc w:val="center"/>
              <w:rPr>
                <w:rFonts w:cs="Arial"/>
                <w:b/>
              </w:rPr>
            </w:pPr>
            <w:r>
              <w:rPr>
                <w:rFonts w:cs="Arial"/>
                <w:b/>
              </w:rPr>
              <w:t>Kapitel</w:t>
            </w:r>
          </w:p>
        </w:tc>
        <w:tc>
          <w:tcPr>
            <w:tcW w:w="2835" w:type="dxa"/>
            <w:tcBorders>
              <w:top w:val="single" w:sz="8" w:space="0" w:color="auto"/>
              <w:left w:val="single" w:sz="4" w:space="0" w:color="auto"/>
              <w:bottom w:val="single" w:sz="8" w:space="0" w:color="auto"/>
              <w:right w:val="single" w:sz="4" w:space="0" w:color="auto"/>
            </w:tcBorders>
            <w:shd w:val="clear" w:color="auto" w:fill="E0E0E0"/>
          </w:tcPr>
          <w:p w14:paraId="7ADF93C0" w14:textId="77777777" w:rsidR="000267A1" w:rsidRPr="00F61DC8" w:rsidRDefault="000267A1" w:rsidP="00DF55E7">
            <w:pPr>
              <w:jc w:val="right"/>
              <w:rPr>
                <w:rFonts w:cs="Arial"/>
                <w:b/>
              </w:rPr>
            </w:pPr>
            <w:r>
              <w:rPr>
                <w:rFonts w:cs="Arial"/>
                <w:b/>
              </w:rPr>
              <w:t>Jährlich wiederkehrende Kosten in Franken</w:t>
            </w:r>
          </w:p>
        </w:tc>
      </w:tr>
      <w:tr w:rsidR="000267A1" w:rsidRPr="009B1A08" w14:paraId="13593584" w14:textId="77777777" w:rsidTr="004713EE">
        <w:tc>
          <w:tcPr>
            <w:tcW w:w="4668" w:type="dxa"/>
            <w:tcBorders>
              <w:top w:val="single" w:sz="8" w:space="0" w:color="auto"/>
              <w:left w:val="single" w:sz="4" w:space="0" w:color="auto"/>
              <w:bottom w:val="single" w:sz="8" w:space="0" w:color="auto"/>
              <w:right w:val="single" w:sz="4" w:space="0" w:color="auto"/>
            </w:tcBorders>
            <w:shd w:val="clear" w:color="auto" w:fill="auto"/>
          </w:tcPr>
          <w:p w14:paraId="6393540A" w14:textId="76102D57" w:rsidR="000267A1" w:rsidRPr="009B1A08" w:rsidRDefault="000267A1" w:rsidP="004713EE">
            <w:pPr>
              <w:rPr>
                <w:rFonts w:cs="Arial"/>
                <w:bCs/>
              </w:rPr>
            </w:pPr>
            <w:r w:rsidRPr="009B1A08">
              <w:rPr>
                <w:rFonts w:cs="Arial"/>
                <w:bCs/>
              </w:rPr>
              <w:t>Einbau TREZ Lehrpersonen</w:t>
            </w:r>
            <w:r w:rsidR="00F33EE1">
              <w:rPr>
                <w:rFonts w:cs="Arial"/>
                <w:bCs/>
              </w:rPr>
              <w:t xml:space="preserve"> (Lehrkörper)</w:t>
            </w:r>
            <w:r w:rsidRPr="009B1A08">
              <w:rPr>
                <w:rFonts w:cs="Arial"/>
                <w:bCs/>
              </w:rPr>
              <w:t xml:space="preserve"> PH Zug</w:t>
            </w:r>
          </w:p>
        </w:tc>
        <w:tc>
          <w:tcPr>
            <w:tcW w:w="1418" w:type="dxa"/>
            <w:tcBorders>
              <w:top w:val="single" w:sz="8" w:space="0" w:color="auto"/>
              <w:left w:val="single" w:sz="4" w:space="0" w:color="auto"/>
              <w:bottom w:val="single" w:sz="8" w:space="0" w:color="auto"/>
              <w:right w:val="single" w:sz="4" w:space="0" w:color="auto"/>
            </w:tcBorders>
            <w:shd w:val="clear" w:color="auto" w:fill="auto"/>
          </w:tcPr>
          <w:p w14:paraId="260BF3A7" w14:textId="77777777" w:rsidR="000267A1" w:rsidRPr="009B1A08" w:rsidRDefault="000267A1" w:rsidP="004713EE">
            <w:pPr>
              <w:jc w:val="center"/>
              <w:rPr>
                <w:rFonts w:cs="Arial"/>
                <w:bCs/>
              </w:rPr>
            </w:pPr>
            <w:r w:rsidRPr="009B1A08">
              <w:rPr>
                <w:rFonts w:cs="Arial"/>
                <w:bCs/>
              </w:rPr>
              <w:t>5.6.6</w:t>
            </w:r>
          </w:p>
        </w:tc>
        <w:tc>
          <w:tcPr>
            <w:tcW w:w="2835" w:type="dxa"/>
            <w:tcBorders>
              <w:top w:val="single" w:sz="8" w:space="0" w:color="auto"/>
              <w:left w:val="single" w:sz="4" w:space="0" w:color="auto"/>
              <w:bottom w:val="single" w:sz="8" w:space="0" w:color="auto"/>
              <w:right w:val="single" w:sz="4" w:space="0" w:color="auto"/>
            </w:tcBorders>
            <w:shd w:val="clear" w:color="auto" w:fill="auto"/>
          </w:tcPr>
          <w:p w14:paraId="338F1659" w14:textId="77777777" w:rsidR="000267A1" w:rsidRPr="009B1A08" w:rsidRDefault="000267A1" w:rsidP="004713EE">
            <w:pPr>
              <w:jc w:val="right"/>
              <w:rPr>
                <w:rFonts w:cs="Arial"/>
                <w:bCs/>
              </w:rPr>
            </w:pPr>
            <w:r w:rsidRPr="009B1A08">
              <w:rPr>
                <w:rFonts w:cs="Arial"/>
                <w:bCs/>
              </w:rPr>
              <w:t>200 000</w:t>
            </w:r>
          </w:p>
        </w:tc>
      </w:tr>
      <w:tr w:rsidR="000267A1" w:rsidRPr="009B1A08" w14:paraId="52C926C8" w14:textId="77777777" w:rsidTr="004713EE">
        <w:tc>
          <w:tcPr>
            <w:tcW w:w="4668" w:type="dxa"/>
            <w:tcBorders>
              <w:top w:val="single" w:sz="8" w:space="0" w:color="auto"/>
              <w:left w:val="single" w:sz="4" w:space="0" w:color="auto"/>
              <w:bottom w:val="single" w:sz="8" w:space="0" w:color="auto"/>
              <w:right w:val="single" w:sz="4" w:space="0" w:color="auto"/>
            </w:tcBorders>
            <w:shd w:val="clear" w:color="auto" w:fill="auto"/>
          </w:tcPr>
          <w:p w14:paraId="6066D2FB" w14:textId="77777777" w:rsidR="000267A1" w:rsidRPr="009B1A08" w:rsidRDefault="000267A1" w:rsidP="004713EE">
            <w:pPr>
              <w:rPr>
                <w:rFonts w:cs="Arial"/>
                <w:bCs/>
              </w:rPr>
            </w:pPr>
            <w:r>
              <w:rPr>
                <w:rFonts w:cs="Arial"/>
                <w:bCs/>
              </w:rPr>
              <w:t>Ausbau Dienstaltersgeschenk PH Zug</w:t>
            </w:r>
          </w:p>
        </w:tc>
        <w:tc>
          <w:tcPr>
            <w:tcW w:w="1418" w:type="dxa"/>
            <w:tcBorders>
              <w:top w:val="single" w:sz="8" w:space="0" w:color="auto"/>
              <w:left w:val="single" w:sz="4" w:space="0" w:color="auto"/>
              <w:bottom w:val="single" w:sz="8" w:space="0" w:color="auto"/>
              <w:right w:val="single" w:sz="4" w:space="0" w:color="auto"/>
            </w:tcBorders>
            <w:shd w:val="clear" w:color="auto" w:fill="auto"/>
          </w:tcPr>
          <w:p w14:paraId="63B8D2B4" w14:textId="77777777" w:rsidR="000267A1" w:rsidRPr="009B1A08" w:rsidRDefault="000267A1" w:rsidP="004713EE">
            <w:pPr>
              <w:jc w:val="center"/>
              <w:rPr>
                <w:rFonts w:cs="Arial"/>
                <w:bCs/>
              </w:rPr>
            </w:pPr>
            <w:r>
              <w:rPr>
                <w:rFonts w:cs="Arial"/>
                <w:bCs/>
              </w:rPr>
              <w:t>6.3.6</w:t>
            </w:r>
          </w:p>
        </w:tc>
        <w:tc>
          <w:tcPr>
            <w:tcW w:w="2835" w:type="dxa"/>
            <w:tcBorders>
              <w:top w:val="single" w:sz="8" w:space="0" w:color="auto"/>
              <w:left w:val="single" w:sz="4" w:space="0" w:color="auto"/>
              <w:bottom w:val="single" w:sz="8" w:space="0" w:color="auto"/>
              <w:right w:val="single" w:sz="4" w:space="0" w:color="auto"/>
            </w:tcBorders>
            <w:shd w:val="clear" w:color="auto" w:fill="auto"/>
          </w:tcPr>
          <w:p w14:paraId="44783655" w14:textId="77777777" w:rsidR="000267A1" w:rsidRPr="009B1A08" w:rsidRDefault="000267A1" w:rsidP="004713EE">
            <w:pPr>
              <w:jc w:val="right"/>
              <w:rPr>
                <w:rFonts w:cs="Arial"/>
                <w:bCs/>
              </w:rPr>
            </w:pPr>
            <w:r>
              <w:rPr>
                <w:rFonts w:cs="Arial"/>
                <w:bCs/>
              </w:rPr>
              <w:t>30 000</w:t>
            </w:r>
          </w:p>
        </w:tc>
      </w:tr>
      <w:tr w:rsidR="000267A1" w:rsidRPr="009B1A08" w14:paraId="0CF1E649" w14:textId="77777777" w:rsidTr="004713EE">
        <w:tc>
          <w:tcPr>
            <w:tcW w:w="4668" w:type="dxa"/>
            <w:tcBorders>
              <w:top w:val="single" w:sz="8" w:space="0" w:color="auto"/>
              <w:left w:val="single" w:sz="4" w:space="0" w:color="auto"/>
              <w:bottom w:val="single" w:sz="8" w:space="0" w:color="auto"/>
              <w:right w:val="single" w:sz="4" w:space="0" w:color="auto"/>
            </w:tcBorders>
            <w:shd w:val="clear" w:color="auto" w:fill="auto"/>
          </w:tcPr>
          <w:p w14:paraId="09E1A093" w14:textId="77777777" w:rsidR="000267A1" w:rsidRDefault="000267A1" w:rsidP="004713EE">
            <w:pPr>
              <w:rPr>
                <w:rFonts w:cs="Arial"/>
                <w:bCs/>
              </w:rPr>
            </w:pPr>
            <w:r>
              <w:rPr>
                <w:rFonts w:cs="Arial"/>
                <w:bCs/>
              </w:rPr>
              <w:t>Erhöhung Ferienanspruch PH Zug</w:t>
            </w:r>
          </w:p>
        </w:tc>
        <w:tc>
          <w:tcPr>
            <w:tcW w:w="1418" w:type="dxa"/>
            <w:tcBorders>
              <w:top w:val="single" w:sz="8" w:space="0" w:color="auto"/>
              <w:left w:val="single" w:sz="4" w:space="0" w:color="auto"/>
              <w:bottom w:val="single" w:sz="8" w:space="0" w:color="auto"/>
              <w:right w:val="single" w:sz="4" w:space="0" w:color="auto"/>
            </w:tcBorders>
            <w:shd w:val="clear" w:color="auto" w:fill="auto"/>
          </w:tcPr>
          <w:p w14:paraId="2FD9D9AE" w14:textId="77777777" w:rsidR="000267A1" w:rsidRDefault="000267A1" w:rsidP="004713EE">
            <w:pPr>
              <w:jc w:val="center"/>
              <w:rPr>
                <w:rFonts w:cs="Arial"/>
                <w:bCs/>
              </w:rPr>
            </w:pPr>
            <w:r>
              <w:rPr>
                <w:rFonts w:cs="Arial"/>
                <w:bCs/>
              </w:rPr>
              <w:t>6.6.5</w:t>
            </w:r>
          </w:p>
        </w:tc>
        <w:tc>
          <w:tcPr>
            <w:tcW w:w="2835" w:type="dxa"/>
            <w:tcBorders>
              <w:top w:val="single" w:sz="8" w:space="0" w:color="auto"/>
              <w:left w:val="single" w:sz="4" w:space="0" w:color="auto"/>
              <w:bottom w:val="single" w:sz="8" w:space="0" w:color="auto"/>
              <w:right w:val="single" w:sz="4" w:space="0" w:color="auto"/>
            </w:tcBorders>
            <w:shd w:val="clear" w:color="auto" w:fill="auto"/>
          </w:tcPr>
          <w:p w14:paraId="5380BD7A" w14:textId="77777777" w:rsidR="000267A1" w:rsidRDefault="000267A1" w:rsidP="004713EE">
            <w:pPr>
              <w:jc w:val="right"/>
              <w:rPr>
                <w:rFonts w:cs="Arial"/>
                <w:bCs/>
              </w:rPr>
            </w:pPr>
            <w:r>
              <w:rPr>
                <w:rFonts w:cs="Arial"/>
                <w:bCs/>
              </w:rPr>
              <w:t>260 000</w:t>
            </w:r>
          </w:p>
        </w:tc>
      </w:tr>
      <w:tr w:rsidR="00F33EE1" w:rsidRPr="009B1A08" w14:paraId="1C399AC0" w14:textId="77777777" w:rsidTr="004713EE">
        <w:tc>
          <w:tcPr>
            <w:tcW w:w="4668" w:type="dxa"/>
            <w:tcBorders>
              <w:top w:val="single" w:sz="8" w:space="0" w:color="auto"/>
              <w:left w:val="single" w:sz="4" w:space="0" w:color="auto"/>
              <w:bottom w:val="single" w:sz="8" w:space="0" w:color="auto"/>
              <w:right w:val="single" w:sz="4" w:space="0" w:color="auto"/>
            </w:tcBorders>
            <w:shd w:val="clear" w:color="auto" w:fill="auto"/>
          </w:tcPr>
          <w:p w14:paraId="0A24A568" w14:textId="0C7FE825" w:rsidR="00F33EE1" w:rsidRDefault="00F33EE1" w:rsidP="004713EE">
            <w:pPr>
              <w:rPr>
                <w:rFonts w:cs="Arial"/>
                <w:bCs/>
              </w:rPr>
            </w:pPr>
            <w:r>
              <w:rPr>
                <w:rFonts w:cs="Arial"/>
                <w:bCs/>
              </w:rPr>
              <w:t>Erweiterung der Hochschulleitung um zwei Mitglieder</w:t>
            </w:r>
          </w:p>
        </w:tc>
        <w:tc>
          <w:tcPr>
            <w:tcW w:w="1418" w:type="dxa"/>
            <w:tcBorders>
              <w:top w:val="single" w:sz="8" w:space="0" w:color="auto"/>
              <w:left w:val="single" w:sz="4" w:space="0" w:color="auto"/>
              <w:bottom w:val="single" w:sz="8" w:space="0" w:color="auto"/>
              <w:right w:val="single" w:sz="4" w:space="0" w:color="auto"/>
            </w:tcBorders>
            <w:shd w:val="clear" w:color="auto" w:fill="auto"/>
          </w:tcPr>
          <w:p w14:paraId="3AEA4AAB" w14:textId="77777777" w:rsidR="00F33EE1" w:rsidRDefault="00F33EE1" w:rsidP="004713EE">
            <w:pPr>
              <w:jc w:val="center"/>
              <w:rPr>
                <w:rFonts w:cs="Arial"/>
                <w:bCs/>
              </w:rPr>
            </w:pPr>
          </w:p>
        </w:tc>
        <w:tc>
          <w:tcPr>
            <w:tcW w:w="2835" w:type="dxa"/>
            <w:tcBorders>
              <w:top w:val="single" w:sz="8" w:space="0" w:color="auto"/>
              <w:left w:val="single" w:sz="4" w:space="0" w:color="auto"/>
              <w:bottom w:val="single" w:sz="8" w:space="0" w:color="auto"/>
              <w:right w:val="single" w:sz="4" w:space="0" w:color="auto"/>
            </w:tcBorders>
            <w:shd w:val="clear" w:color="auto" w:fill="auto"/>
          </w:tcPr>
          <w:p w14:paraId="493F4B53" w14:textId="5CF15634" w:rsidR="00F33EE1" w:rsidRDefault="00F33EE1" w:rsidP="004713EE">
            <w:pPr>
              <w:jc w:val="right"/>
              <w:rPr>
                <w:rFonts w:cs="Arial"/>
                <w:bCs/>
              </w:rPr>
            </w:pPr>
            <w:r>
              <w:t>22 800</w:t>
            </w:r>
          </w:p>
        </w:tc>
      </w:tr>
    </w:tbl>
    <w:p w14:paraId="4F476BEE" w14:textId="0D478BE2" w:rsidR="00576996" w:rsidRDefault="00576996" w:rsidP="000267A1">
      <w:pPr>
        <w:spacing w:line="240" w:lineRule="auto"/>
      </w:pPr>
    </w:p>
    <w:p w14:paraId="0CCE1C0B" w14:textId="5A169BA6" w:rsidR="00107D9E" w:rsidRDefault="00107D9E" w:rsidP="000267A1">
      <w:pPr>
        <w:spacing w:line="240" w:lineRule="auto"/>
      </w:pPr>
    </w:p>
    <w:p w14:paraId="2FE61453" w14:textId="0FECE256" w:rsidR="007E6776" w:rsidRDefault="007E6776" w:rsidP="007E6776">
      <w:pPr>
        <w:autoSpaceDE w:val="0"/>
        <w:autoSpaceDN w:val="0"/>
        <w:rPr>
          <w:rFonts w:cs="Arial"/>
          <w:spacing w:val="0"/>
        </w:rPr>
      </w:pPr>
      <w:r>
        <w:rPr>
          <w:rFonts w:cs="Arial"/>
        </w:rPr>
        <w:t>Der Einbau der Treue- und Erfahrungszulage (TREZ) von 200 000 Franken, der Ausbau für Dienstaltersgeschenke in der Höhe von 30 000 Franken sowie der Aufwand für die Erhöhung des Ferienanspruchs (260 000 Franken) wurden bereits im Kantonsratsgeschäft</w:t>
      </w:r>
      <w:r w:rsidR="00571C27">
        <w:rPr>
          <w:rFonts w:cs="Arial"/>
        </w:rPr>
        <w:t xml:space="preserve"> betreffend das Projekt Anstellungsbedingungen (Vorlage Nr.</w:t>
      </w:r>
      <w:r>
        <w:rPr>
          <w:rFonts w:cs="Arial"/>
        </w:rPr>
        <w:t xml:space="preserve"> 3333</w:t>
      </w:r>
      <w:r w:rsidR="00571C27">
        <w:rPr>
          <w:rFonts w:cs="Arial"/>
        </w:rPr>
        <w:t>.1)</w:t>
      </w:r>
      <w:r>
        <w:rPr>
          <w:rFonts w:cs="Arial"/>
        </w:rPr>
        <w:t xml:space="preserve"> ausgewiesen</w:t>
      </w:r>
      <w:r w:rsidR="000043CD">
        <w:rPr>
          <w:rFonts w:cs="Arial"/>
        </w:rPr>
        <w:t>, sind im Finanzplan bereits enthalten und deshalb in der Finanztabelle nicht mehr aufzuführen</w:t>
      </w:r>
      <w:r>
        <w:rPr>
          <w:rFonts w:cs="Arial"/>
        </w:rPr>
        <w:t xml:space="preserve">. </w:t>
      </w:r>
      <w:r w:rsidR="000043CD">
        <w:rPr>
          <w:rFonts w:cs="Arial"/>
        </w:rPr>
        <w:t>Neu dazu kommt die Erweiterung de</w:t>
      </w:r>
      <w:r w:rsidR="00EE40AA">
        <w:rPr>
          <w:rFonts w:cs="Arial"/>
        </w:rPr>
        <w:t>r</w:t>
      </w:r>
      <w:r w:rsidR="000043CD">
        <w:rPr>
          <w:rFonts w:cs="Arial"/>
        </w:rPr>
        <w:t xml:space="preserve"> Hochschulleitung um zwei Mitglieder. </w:t>
      </w:r>
      <w:r w:rsidR="00EE40AA">
        <w:rPr>
          <w:rFonts w:cs="Arial"/>
        </w:rPr>
        <w:t>D</w:t>
      </w:r>
      <w:r w:rsidR="000043CD">
        <w:rPr>
          <w:rFonts w:cs="Arial"/>
        </w:rPr>
        <w:t>ie darau</w:t>
      </w:r>
      <w:r w:rsidR="00EE40AA">
        <w:rPr>
          <w:rFonts w:cs="Arial"/>
        </w:rPr>
        <w:t>s</w:t>
      </w:r>
      <w:r w:rsidR="000043CD">
        <w:rPr>
          <w:rFonts w:cs="Arial"/>
        </w:rPr>
        <w:t xml:space="preserve"> resultierenden Kosten in Höhe von 22 800 Franken</w:t>
      </w:r>
      <w:r w:rsidR="00EE40AA">
        <w:rPr>
          <w:rFonts w:cs="Arial"/>
        </w:rPr>
        <w:t xml:space="preserve"> werden</w:t>
      </w:r>
      <w:r w:rsidR="000043CD">
        <w:rPr>
          <w:rFonts w:cs="Arial"/>
        </w:rPr>
        <w:t xml:space="preserve"> i</w:t>
      </w:r>
      <w:r>
        <w:rPr>
          <w:rFonts w:cs="Arial"/>
        </w:rPr>
        <w:t xml:space="preserve">n der vorliegenden Finanztabelle </w:t>
      </w:r>
      <w:r w:rsidR="00571C27">
        <w:rPr>
          <w:rFonts w:cs="Arial"/>
        </w:rPr>
        <w:t>aufgeführt</w:t>
      </w:r>
      <w:r>
        <w:rPr>
          <w:rFonts w:cs="Arial"/>
        </w:rPr>
        <w:t>.</w:t>
      </w:r>
    </w:p>
    <w:p w14:paraId="305E1E5A" w14:textId="25BF1D84" w:rsidR="00107D9E" w:rsidRDefault="00107D9E" w:rsidP="000267A1">
      <w:pPr>
        <w:spacing w:line="240" w:lineRule="auto"/>
      </w:pPr>
    </w:p>
    <w:p w14:paraId="2FDC1AFC" w14:textId="2A03FAB5" w:rsidR="00107D9E" w:rsidRDefault="00107D9E" w:rsidP="000267A1">
      <w:pPr>
        <w:spacing w:line="240" w:lineRule="auto"/>
      </w:pPr>
    </w:p>
    <w:p w14:paraId="75B5BE54" w14:textId="58538EC8" w:rsidR="00107D9E" w:rsidRDefault="00107D9E" w:rsidP="000267A1">
      <w:pPr>
        <w:spacing w:line="240" w:lineRule="auto"/>
      </w:pPr>
    </w:p>
    <w:p w14:paraId="189968A6" w14:textId="5050618D" w:rsidR="00107D9E" w:rsidRDefault="00107D9E" w:rsidP="000267A1">
      <w:pPr>
        <w:spacing w:line="240" w:lineRule="auto"/>
      </w:pPr>
    </w:p>
    <w:p w14:paraId="36BB2F5F" w14:textId="46151E7C" w:rsidR="00107D9E" w:rsidRDefault="00107D9E" w:rsidP="000267A1">
      <w:pPr>
        <w:spacing w:line="240" w:lineRule="auto"/>
      </w:pPr>
    </w:p>
    <w:p w14:paraId="333F661F" w14:textId="77777777" w:rsidR="00107D9E" w:rsidRDefault="00107D9E" w:rsidP="000267A1">
      <w:pPr>
        <w:spacing w:line="240" w:lineRule="auto"/>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426"/>
        <w:gridCol w:w="1261"/>
        <w:gridCol w:w="1261"/>
        <w:gridCol w:w="1261"/>
        <w:gridCol w:w="1261"/>
      </w:tblGrid>
      <w:tr w:rsidR="004713EE" w14:paraId="2FFF5053" w14:textId="77777777" w:rsidTr="00F33EE1">
        <w:tc>
          <w:tcPr>
            <w:tcW w:w="425" w:type="dxa"/>
            <w:tcBorders>
              <w:top w:val="single" w:sz="8" w:space="0" w:color="auto"/>
              <w:left w:val="single" w:sz="8" w:space="0" w:color="auto"/>
              <w:bottom w:val="single" w:sz="8" w:space="0" w:color="auto"/>
              <w:right w:val="single" w:sz="4" w:space="0" w:color="auto"/>
            </w:tcBorders>
            <w:shd w:val="clear" w:color="auto" w:fill="E0E0E0"/>
          </w:tcPr>
          <w:p w14:paraId="6CF135DD" w14:textId="77777777" w:rsidR="004713EE" w:rsidRPr="00F61DC8" w:rsidRDefault="00576996" w:rsidP="004713EE">
            <w:pPr>
              <w:rPr>
                <w:rFonts w:cs="Arial"/>
                <w:b/>
              </w:rPr>
            </w:pPr>
            <w:r w:rsidRPr="00F61DC8">
              <w:rPr>
                <w:rFonts w:cs="Arial"/>
                <w:b/>
              </w:rPr>
              <w:t>A</w:t>
            </w:r>
          </w:p>
        </w:tc>
        <w:tc>
          <w:tcPr>
            <w:tcW w:w="3426" w:type="dxa"/>
            <w:tcBorders>
              <w:top w:val="single" w:sz="8" w:space="0" w:color="auto"/>
              <w:left w:val="single" w:sz="4" w:space="0" w:color="auto"/>
              <w:bottom w:val="single" w:sz="8" w:space="0" w:color="auto"/>
              <w:right w:val="single" w:sz="4" w:space="0" w:color="auto"/>
            </w:tcBorders>
            <w:shd w:val="clear" w:color="auto" w:fill="E0E0E0"/>
          </w:tcPr>
          <w:p w14:paraId="7CAC6361" w14:textId="77777777" w:rsidR="004713EE" w:rsidRPr="00F61DC8" w:rsidRDefault="00576996" w:rsidP="004713EE">
            <w:pPr>
              <w:rPr>
                <w:rFonts w:cs="Arial"/>
                <w:b/>
              </w:rPr>
            </w:pPr>
            <w:r w:rsidRPr="00F61DC8">
              <w:rPr>
                <w:rFonts w:cs="Arial"/>
                <w:b/>
              </w:rPr>
              <w:t>Investitionsrechnung</w:t>
            </w:r>
          </w:p>
        </w:tc>
        <w:tc>
          <w:tcPr>
            <w:tcW w:w="1261" w:type="dxa"/>
            <w:tcBorders>
              <w:top w:val="single" w:sz="8" w:space="0" w:color="auto"/>
              <w:left w:val="single" w:sz="4" w:space="0" w:color="auto"/>
              <w:bottom w:val="single" w:sz="8" w:space="0" w:color="auto"/>
              <w:right w:val="single" w:sz="4" w:space="0" w:color="auto"/>
            </w:tcBorders>
            <w:shd w:val="clear" w:color="auto" w:fill="E0E0E0"/>
          </w:tcPr>
          <w:p w14:paraId="7C6D896E" w14:textId="735105C7" w:rsidR="004713EE" w:rsidRPr="00F61DC8" w:rsidRDefault="00576996" w:rsidP="004713EE">
            <w:pPr>
              <w:jc w:val="center"/>
              <w:rPr>
                <w:rFonts w:cs="Arial"/>
                <w:b/>
              </w:rPr>
            </w:pPr>
            <w:r w:rsidRPr="00F61DC8">
              <w:rPr>
                <w:rFonts w:cs="Arial"/>
                <w:b/>
              </w:rPr>
              <w:t>20</w:t>
            </w:r>
            <w:r>
              <w:rPr>
                <w:rFonts w:cs="Arial"/>
                <w:b/>
              </w:rPr>
              <w:t>2</w:t>
            </w:r>
            <w:r w:rsidR="000569D9">
              <w:rPr>
                <w:rFonts w:cs="Arial"/>
                <w:b/>
              </w:rPr>
              <w:t>3</w:t>
            </w:r>
          </w:p>
        </w:tc>
        <w:tc>
          <w:tcPr>
            <w:tcW w:w="1261" w:type="dxa"/>
            <w:tcBorders>
              <w:top w:val="single" w:sz="8" w:space="0" w:color="auto"/>
              <w:left w:val="single" w:sz="4" w:space="0" w:color="auto"/>
              <w:bottom w:val="single" w:sz="8" w:space="0" w:color="auto"/>
              <w:right w:val="single" w:sz="4" w:space="0" w:color="auto"/>
            </w:tcBorders>
            <w:shd w:val="clear" w:color="auto" w:fill="E0E0E0"/>
          </w:tcPr>
          <w:p w14:paraId="113E3148" w14:textId="0657A3E0" w:rsidR="004713EE" w:rsidRPr="00F61DC8" w:rsidRDefault="00576996" w:rsidP="004713EE">
            <w:pPr>
              <w:jc w:val="center"/>
              <w:rPr>
                <w:rFonts w:cs="Arial"/>
                <w:b/>
              </w:rPr>
            </w:pPr>
            <w:r>
              <w:rPr>
                <w:rFonts w:cs="Arial"/>
                <w:b/>
              </w:rPr>
              <w:t>202</w:t>
            </w:r>
            <w:r w:rsidR="000569D9">
              <w:rPr>
                <w:rFonts w:cs="Arial"/>
                <w:b/>
              </w:rPr>
              <w:t>4</w:t>
            </w:r>
          </w:p>
        </w:tc>
        <w:tc>
          <w:tcPr>
            <w:tcW w:w="1261" w:type="dxa"/>
            <w:tcBorders>
              <w:top w:val="single" w:sz="8" w:space="0" w:color="auto"/>
              <w:left w:val="single" w:sz="4" w:space="0" w:color="auto"/>
              <w:bottom w:val="single" w:sz="8" w:space="0" w:color="auto"/>
              <w:right w:val="single" w:sz="4" w:space="0" w:color="auto"/>
            </w:tcBorders>
            <w:shd w:val="clear" w:color="auto" w:fill="E0E0E0"/>
          </w:tcPr>
          <w:p w14:paraId="19F5556D" w14:textId="6B367029" w:rsidR="004713EE" w:rsidRPr="00F61DC8" w:rsidRDefault="00576996" w:rsidP="004713EE">
            <w:pPr>
              <w:jc w:val="center"/>
              <w:rPr>
                <w:rFonts w:cs="Arial"/>
                <w:b/>
              </w:rPr>
            </w:pPr>
            <w:r w:rsidRPr="00F61DC8">
              <w:rPr>
                <w:rFonts w:cs="Arial"/>
                <w:b/>
              </w:rPr>
              <w:t>20</w:t>
            </w:r>
            <w:r>
              <w:rPr>
                <w:rFonts w:cs="Arial"/>
                <w:b/>
              </w:rPr>
              <w:t>2</w:t>
            </w:r>
            <w:r w:rsidR="000569D9">
              <w:rPr>
                <w:rFonts w:cs="Arial"/>
                <w:b/>
              </w:rPr>
              <w:t>5</w:t>
            </w:r>
          </w:p>
        </w:tc>
        <w:tc>
          <w:tcPr>
            <w:tcW w:w="1261" w:type="dxa"/>
            <w:tcBorders>
              <w:top w:val="single" w:sz="8" w:space="0" w:color="auto"/>
              <w:left w:val="single" w:sz="4" w:space="0" w:color="auto"/>
              <w:bottom w:val="single" w:sz="8" w:space="0" w:color="auto"/>
              <w:right w:val="single" w:sz="8" w:space="0" w:color="auto"/>
            </w:tcBorders>
            <w:shd w:val="clear" w:color="auto" w:fill="E0E0E0"/>
          </w:tcPr>
          <w:p w14:paraId="73DAE7E6" w14:textId="2279C00B" w:rsidR="004713EE" w:rsidRPr="00D16962" w:rsidRDefault="00576996" w:rsidP="004713EE">
            <w:pPr>
              <w:jc w:val="center"/>
              <w:rPr>
                <w:rFonts w:cs="Arial"/>
                <w:b/>
              </w:rPr>
            </w:pPr>
            <w:r w:rsidRPr="00F61DC8">
              <w:rPr>
                <w:rFonts w:cs="Arial"/>
                <w:b/>
              </w:rPr>
              <w:t>20</w:t>
            </w:r>
            <w:r>
              <w:rPr>
                <w:rFonts w:cs="Arial"/>
                <w:b/>
              </w:rPr>
              <w:t>2</w:t>
            </w:r>
            <w:r w:rsidR="000569D9">
              <w:rPr>
                <w:rFonts w:cs="Arial"/>
                <w:b/>
              </w:rPr>
              <w:t>6</w:t>
            </w:r>
          </w:p>
        </w:tc>
      </w:tr>
      <w:tr w:rsidR="004713EE" w14:paraId="4E386B17" w14:textId="77777777" w:rsidTr="00F33EE1">
        <w:tc>
          <w:tcPr>
            <w:tcW w:w="425" w:type="dxa"/>
            <w:vMerge w:val="restart"/>
            <w:tcBorders>
              <w:top w:val="single" w:sz="8" w:space="0" w:color="auto"/>
              <w:left w:val="single" w:sz="8" w:space="0" w:color="auto"/>
              <w:right w:val="single" w:sz="4" w:space="0" w:color="auto"/>
            </w:tcBorders>
          </w:tcPr>
          <w:p w14:paraId="70B95E09" w14:textId="77777777" w:rsidR="004713EE" w:rsidRPr="00D16962" w:rsidRDefault="00576996" w:rsidP="004713EE">
            <w:pPr>
              <w:tabs>
                <w:tab w:val="left" w:pos="567"/>
                <w:tab w:val="left" w:pos="4536"/>
              </w:tabs>
              <w:rPr>
                <w:rFonts w:cs="Arial"/>
              </w:rPr>
            </w:pPr>
            <w:r w:rsidRPr="00D16962">
              <w:rPr>
                <w:rFonts w:cs="Arial"/>
              </w:rPr>
              <w:t>1.</w:t>
            </w:r>
          </w:p>
        </w:tc>
        <w:tc>
          <w:tcPr>
            <w:tcW w:w="3426" w:type="dxa"/>
            <w:tcBorders>
              <w:top w:val="single" w:sz="8" w:space="0" w:color="auto"/>
              <w:left w:val="single" w:sz="4" w:space="0" w:color="auto"/>
              <w:bottom w:val="dashed" w:sz="2" w:space="0" w:color="auto"/>
              <w:right w:val="single" w:sz="4" w:space="0" w:color="auto"/>
            </w:tcBorders>
          </w:tcPr>
          <w:p w14:paraId="12596FF7" w14:textId="77777777" w:rsidR="004713EE" w:rsidRPr="00D16962" w:rsidRDefault="00576996" w:rsidP="004713EE">
            <w:pPr>
              <w:rPr>
                <w:rFonts w:cs="Arial"/>
              </w:rPr>
            </w:pPr>
            <w:r w:rsidRPr="00D16962">
              <w:rPr>
                <w:rFonts w:cs="Arial"/>
              </w:rPr>
              <w:t>Gemäss Budget oder Finanzplan:</w:t>
            </w:r>
          </w:p>
          <w:p w14:paraId="0C291167" w14:textId="77777777" w:rsidR="004713EE" w:rsidRPr="00D16962" w:rsidRDefault="00576996" w:rsidP="004713EE">
            <w:pPr>
              <w:tabs>
                <w:tab w:val="left" w:pos="567"/>
                <w:tab w:val="left" w:pos="4536"/>
              </w:tabs>
              <w:rPr>
                <w:rFonts w:cs="Arial"/>
              </w:rPr>
            </w:pPr>
            <w:r w:rsidRPr="00D16962">
              <w:rPr>
                <w:rFonts w:cs="Arial"/>
              </w:rPr>
              <w:t>bereits geplante Ausgaben</w:t>
            </w:r>
          </w:p>
        </w:tc>
        <w:tc>
          <w:tcPr>
            <w:tcW w:w="1261" w:type="dxa"/>
            <w:tcBorders>
              <w:top w:val="single" w:sz="8" w:space="0" w:color="auto"/>
              <w:left w:val="single" w:sz="4" w:space="0" w:color="auto"/>
              <w:bottom w:val="dashed" w:sz="2" w:space="0" w:color="auto"/>
              <w:right w:val="single" w:sz="4" w:space="0" w:color="auto"/>
            </w:tcBorders>
            <w:vAlign w:val="bottom"/>
          </w:tcPr>
          <w:p w14:paraId="1E8D5883"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4" w:space="0" w:color="auto"/>
            </w:tcBorders>
            <w:vAlign w:val="bottom"/>
          </w:tcPr>
          <w:p w14:paraId="2F8966FE"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4" w:space="0" w:color="auto"/>
            </w:tcBorders>
            <w:vAlign w:val="bottom"/>
          </w:tcPr>
          <w:p w14:paraId="4540EA1A"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8" w:space="0" w:color="auto"/>
            </w:tcBorders>
            <w:vAlign w:val="bottom"/>
          </w:tcPr>
          <w:p w14:paraId="6661BA64" w14:textId="77777777" w:rsidR="004713EE" w:rsidRPr="00D16962" w:rsidRDefault="004713EE" w:rsidP="004713EE">
            <w:pPr>
              <w:tabs>
                <w:tab w:val="left" w:pos="567"/>
                <w:tab w:val="left" w:pos="4536"/>
              </w:tabs>
              <w:jc w:val="right"/>
              <w:rPr>
                <w:rFonts w:cs="Arial"/>
              </w:rPr>
            </w:pPr>
          </w:p>
        </w:tc>
      </w:tr>
      <w:tr w:rsidR="004713EE" w14:paraId="149955F0" w14:textId="77777777" w:rsidTr="00F33EE1">
        <w:tc>
          <w:tcPr>
            <w:tcW w:w="425" w:type="dxa"/>
            <w:vMerge/>
            <w:tcBorders>
              <w:left w:val="single" w:sz="8" w:space="0" w:color="auto"/>
              <w:bottom w:val="single" w:sz="4" w:space="0" w:color="auto"/>
              <w:right w:val="single" w:sz="4" w:space="0" w:color="auto"/>
            </w:tcBorders>
          </w:tcPr>
          <w:p w14:paraId="6571263F" w14:textId="77777777" w:rsidR="004713EE" w:rsidRPr="00D16962" w:rsidRDefault="004713EE" w:rsidP="004713EE">
            <w:pPr>
              <w:tabs>
                <w:tab w:val="left" w:pos="567"/>
                <w:tab w:val="left" w:pos="4536"/>
              </w:tabs>
              <w:rPr>
                <w:rFonts w:cs="Arial"/>
              </w:rPr>
            </w:pPr>
          </w:p>
        </w:tc>
        <w:tc>
          <w:tcPr>
            <w:tcW w:w="3426" w:type="dxa"/>
            <w:tcBorders>
              <w:top w:val="dashed" w:sz="2" w:space="0" w:color="auto"/>
              <w:left w:val="single" w:sz="4" w:space="0" w:color="auto"/>
              <w:bottom w:val="single" w:sz="4" w:space="0" w:color="auto"/>
              <w:right w:val="single" w:sz="4" w:space="0" w:color="auto"/>
            </w:tcBorders>
          </w:tcPr>
          <w:p w14:paraId="40D5375F" w14:textId="77777777" w:rsidR="004713EE" w:rsidRPr="00D16962" w:rsidRDefault="00576996" w:rsidP="004713EE">
            <w:pPr>
              <w:tabs>
                <w:tab w:val="left" w:pos="567"/>
                <w:tab w:val="left" w:pos="4536"/>
              </w:tabs>
              <w:rPr>
                <w:rFonts w:cs="Arial"/>
              </w:rPr>
            </w:pPr>
            <w:r w:rsidRPr="00D16962">
              <w:rPr>
                <w:rFonts w:cs="Arial"/>
              </w:rPr>
              <w:t>bereits geplante Einnahmen</w:t>
            </w:r>
          </w:p>
        </w:tc>
        <w:tc>
          <w:tcPr>
            <w:tcW w:w="1261" w:type="dxa"/>
            <w:tcBorders>
              <w:top w:val="dashed" w:sz="2" w:space="0" w:color="auto"/>
              <w:left w:val="single" w:sz="4" w:space="0" w:color="auto"/>
              <w:bottom w:val="single" w:sz="4" w:space="0" w:color="auto"/>
              <w:right w:val="single" w:sz="4" w:space="0" w:color="auto"/>
            </w:tcBorders>
            <w:vAlign w:val="bottom"/>
          </w:tcPr>
          <w:p w14:paraId="4EBA1459"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53AB7631"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73E22A29"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8" w:space="0" w:color="auto"/>
            </w:tcBorders>
            <w:vAlign w:val="bottom"/>
          </w:tcPr>
          <w:p w14:paraId="46786A78" w14:textId="77777777" w:rsidR="004713EE" w:rsidRPr="00D16962" w:rsidRDefault="004713EE" w:rsidP="004713EE">
            <w:pPr>
              <w:tabs>
                <w:tab w:val="left" w:pos="567"/>
                <w:tab w:val="left" w:pos="4536"/>
              </w:tabs>
              <w:jc w:val="right"/>
              <w:rPr>
                <w:rFonts w:cs="Arial"/>
              </w:rPr>
            </w:pPr>
          </w:p>
        </w:tc>
      </w:tr>
      <w:tr w:rsidR="004713EE" w14:paraId="6DDBDC34" w14:textId="77777777" w:rsidTr="00F33EE1">
        <w:tc>
          <w:tcPr>
            <w:tcW w:w="425" w:type="dxa"/>
            <w:vMerge w:val="restart"/>
            <w:tcBorders>
              <w:top w:val="single" w:sz="4" w:space="0" w:color="auto"/>
              <w:left w:val="single" w:sz="8" w:space="0" w:color="auto"/>
              <w:right w:val="single" w:sz="4" w:space="0" w:color="auto"/>
            </w:tcBorders>
          </w:tcPr>
          <w:p w14:paraId="59829195" w14:textId="77777777" w:rsidR="004713EE" w:rsidRPr="00D16962" w:rsidRDefault="00576996" w:rsidP="004713EE">
            <w:pPr>
              <w:tabs>
                <w:tab w:val="left" w:pos="567"/>
                <w:tab w:val="left" w:pos="4536"/>
              </w:tabs>
              <w:rPr>
                <w:rFonts w:cs="Arial"/>
              </w:rPr>
            </w:pPr>
            <w:r w:rsidRPr="00D16962">
              <w:rPr>
                <w:rFonts w:cs="Arial"/>
              </w:rPr>
              <w:t>2.</w:t>
            </w:r>
          </w:p>
        </w:tc>
        <w:tc>
          <w:tcPr>
            <w:tcW w:w="3426" w:type="dxa"/>
            <w:tcBorders>
              <w:top w:val="single" w:sz="4" w:space="0" w:color="auto"/>
              <w:left w:val="single" w:sz="4" w:space="0" w:color="auto"/>
              <w:bottom w:val="dashed" w:sz="2" w:space="0" w:color="auto"/>
              <w:right w:val="single" w:sz="4" w:space="0" w:color="auto"/>
            </w:tcBorders>
          </w:tcPr>
          <w:p w14:paraId="0117E038" w14:textId="77777777" w:rsidR="004713EE" w:rsidRPr="00D16962" w:rsidRDefault="00576996" w:rsidP="004713EE">
            <w:pPr>
              <w:tabs>
                <w:tab w:val="left" w:pos="567"/>
                <w:tab w:val="left" w:pos="4536"/>
              </w:tabs>
              <w:rPr>
                <w:rFonts w:cs="Arial"/>
              </w:rPr>
            </w:pPr>
            <w:r w:rsidRPr="00D16962">
              <w:rPr>
                <w:rFonts w:cs="Arial"/>
              </w:rPr>
              <w:t>Gemäss vorliegendem Antrag:</w:t>
            </w:r>
          </w:p>
          <w:p w14:paraId="0C0164B7" w14:textId="77777777" w:rsidR="004713EE" w:rsidRPr="00D16962" w:rsidRDefault="00576996" w:rsidP="004713EE">
            <w:pPr>
              <w:tabs>
                <w:tab w:val="left" w:pos="567"/>
                <w:tab w:val="left" w:pos="4536"/>
              </w:tabs>
              <w:rPr>
                <w:rFonts w:cs="Arial"/>
              </w:rPr>
            </w:pPr>
            <w:r w:rsidRPr="00D16962">
              <w:rPr>
                <w:rFonts w:cs="Arial"/>
              </w:rPr>
              <w:t>effektive Ausgaben</w:t>
            </w:r>
          </w:p>
        </w:tc>
        <w:tc>
          <w:tcPr>
            <w:tcW w:w="1261" w:type="dxa"/>
            <w:tcBorders>
              <w:top w:val="single" w:sz="4" w:space="0" w:color="auto"/>
              <w:left w:val="single" w:sz="4" w:space="0" w:color="auto"/>
              <w:bottom w:val="dashed" w:sz="2" w:space="0" w:color="auto"/>
              <w:right w:val="single" w:sz="4" w:space="0" w:color="auto"/>
            </w:tcBorders>
            <w:vAlign w:val="bottom"/>
          </w:tcPr>
          <w:p w14:paraId="2C8185F1" w14:textId="77777777" w:rsidR="004713EE" w:rsidRPr="00D16962"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dashed" w:sz="2" w:space="0" w:color="auto"/>
              <w:right w:val="single" w:sz="4" w:space="0" w:color="auto"/>
            </w:tcBorders>
            <w:vAlign w:val="bottom"/>
          </w:tcPr>
          <w:p w14:paraId="7FFC3C23" w14:textId="77777777" w:rsidR="004713EE" w:rsidRPr="00D16962"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dashed" w:sz="2" w:space="0" w:color="auto"/>
              <w:right w:val="single" w:sz="4" w:space="0" w:color="auto"/>
            </w:tcBorders>
            <w:vAlign w:val="bottom"/>
          </w:tcPr>
          <w:p w14:paraId="0A9BFB26" w14:textId="77777777" w:rsidR="004713EE" w:rsidRPr="00D16962"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dashed" w:sz="2" w:space="0" w:color="auto"/>
              <w:right w:val="single" w:sz="8" w:space="0" w:color="auto"/>
            </w:tcBorders>
            <w:vAlign w:val="bottom"/>
          </w:tcPr>
          <w:p w14:paraId="1CFE9662" w14:textId="77777777" w:rsidR="004713EE" w:rsidRPr="00D16962" w:rsidRDefault="004713EE" w:rsidP="004713EE">
            <w:pPr>
              <w:tabs>
                <w:tab w:val="left" w:pos="567"/>
                <w:tab w:val="left" w:pos="4536"/>
              </w:tabs>
              <w:jc w:val="right"/>
              <w:rPr>
                <w:rFonts w:cs="Arial"/>
              </w:rPr>
            </w:pPr>
          </w:p>
        </w:tc>
      </w:tr>
      <w:tr w:rsidR="004713EE" w14:paraId="2EDA2AF4" w14:textId="77777777" w:rsidTr="00F33EE1">
        <w:tc>
          <w:tcPr>
            <w:tcW w:w="425" w:type="dxa"/>
            <w:vMerge/>
            <w:tcBorders>
              <w:left w:val="single" w:sz="8" w:space="0" w:color="auto"/>
              <w:bottom w:val="single" w:sz="8" w:space="0" w:color="auto"/>
              <w:right w:val="single" w:sz="4" w:space="0" w:color="auto"/>
            </w:tcBorders>
          </w:tcPr>
          <w:p w14:paraId="269BB658" w14:textId="77777777" w:rsidR="004713EE" w:rsidRPr="00D16962" w:rsidRDefault="004713EE" w:rsidP="004713EE">
            <w:pPr>
              <w:tabs>
                <w:tab w:val="left" w:pos="567"/>
                <w:tab w:val="left" w:pos="4536"/>
              </w:tabs>
              <w:rPr>
                <w:rFonts w:cs="Arial"/>
              </w:rPr>
            </w:pPr>
          </w:p>
        </w:tc>
        <w:tc>
          <w:tcPr>
            <w:tcW w:w="3426" w:type="dxa"/>
            <w:tcBorders>
              <w:top w:val="dashed" w:sz="2" w:space="0" w:color="auto"/>
              <w:left w:val="single" w:sz="4" w:space="0" w:color="auto"/>
              <w:bottom w:val="single" w:sz="8" w:space="0" w:color="auto"/>
              <w:right w:val="single" w:sz="4" w:space="0" w:color="auto"/>
            </w:tcBorders>
          </w:tcPr>
          <w:p w14:paraId="3EAF26C2" w14:textId="77777777" w:rsidR="004713EE" w:rsidRPr="00D16962" w:rsidRDefault="00576996" w:rsidP="004713EE">
            <w:pPr>
              <w:tabs>
                <w:tab w:val="left" w:pos="567"/>
                <w:tab w:val="left" w:pos="4536"/>
              </w:tabs>
              <w:rPr>
                <w:rFonts w:cs="Arial"/>
              </w:rPr>
            </w:pPr>
            <w:r w:rsidRPr="00D16962">
              <w:rPr>
                <w:rFonts w:cs="Arial"/>
              </w:rPr>
              <w:t>effektive Einnahmen</w:t>
            </w:r>
          </w:p>
        </w:tc>
        <w:tc>
          <w:tcPr>
            <w:tcW w:w="1261" w:type="dxa"/>
            <w:tcBorders>
              <w:top w:val="dashed" w:sz="2" w:space="0" w:color="auto"/>
              <w:left w:val="single" w:sz="4" w:space="0" w:color="auto"/>
              <w:bottom w:val="single" w:sz="8" w:space="0" w:color="auto"/>
              <w:right w:val="single" w:sz="4" w:space="0" w:color="auto"/>
            </w:tcBorders>
            <w:vAlign w:val="bottom"/>
          </w:tcPr>
          <w:p w14:paraId="606EC3AE"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8" w:space="0" w:color="auto"/>
              <w:right w:val="single" w:sz="4" w:space="0" w:color="auto"/>
            </w:tcBorders>
            <w:vAlign w:val="bottom"/>
          </w:tcPr>
          <w:p w14:paraId="1455D6EF"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8" w:space="0" w:color="auto"/>
              <w:right w:val="single" w:sz="4" w:space="0" w:color="auto"/>
            </w:tcBorders>
            <w:vAlign w:val="bottom"/>
          </w:tcPr>
          <w:p w14:paraId="3C2357CE"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8" w:space="0" w:color="auto"/>
              <w:right w:val="single" w:sz="8" w:space="0" w:color="auto"/>
            </w:tcBorders>
            <w:vAlign w:val="bottom"/>
          </w:tcPr>
          <w:p w14:paraId="32EC5087" w14:textId="77777777" w:rsidR="004713EE" w:rsidRPr="00D16962" w:rsidRDefault="004713EE" w:rsidP="004713EE">
            <w:pPr>
              <w:tabs>
                <w:tab w:val="left" w:pos="567"/>
                <w:tab w:val="left" w:pos="4536"/>
              </w:tabs>
              <w:jc w:val="right"/>
              <w:rPr>
                <w:rFonts w:cs="Arial"/>
              </w:rPr>
            </w:pPr>
          </w:p>
        </w:tc>
      </w:tr>
      <w:tr w:rsidR="004713EE" w14:paraId="36ABE471" w14:textId="77777777" w:rsidTr="00F33EE1">
        <w:tc>
          <w:tcPr>
            <w:tcW w:w="425" w:type="dxa"/>
            <w:tcBorders>
              <w:top w:val="single" w:sz="8" w:space="0" w:color="auto"/>
              <w:left w:val="single" w:sz="8" w:space="0" w:color="auto"/>
              <w:bottom w:val="single" w:sz="8" w:space="0" w:color="auto"/>
              <w:right w:val="single" w:sz="4" w:space="0" w:color="auto"/>
            </w:tcBorders>
            <w:shd w:val="clear" w:color="auto" w:fill="E0E0E0"/>
          </w:tcPr>
          <w:p w14:paraId="02AE994D" w14:textId="77777777" w:rsidR="004713EE" w:rsidRPr="00D16962" w:rsidRDefault="00576996" w:rsidP="004713EE">
            <w:pPr>
              <w:rPr>
                <w:rFonts w:cs="Arial"/>
                <w:b/>
              </w:rPr>
            </w:pPr>
            <w:r w:rsidRPr="00D16962">
              <w:rPr>
                <w:rFonts w:cs="Arial"/>
                <w:b/>
              </w:rPr>
              <w:t>B</w:t>
            </w:r>
          </w:p>
        </w:tc>
        <w:tc>
          <w:tcPr>
            <w:tcW w:w="8470" w:type="dxa"/>
            <w:gridSpan w:val="5"/>
            <w:tcBorders>
              <w:top w:val="single" w:sz="8" w:space="0" w:color="auto"/>
              <w:left w:val="single" w:sz="4" w:space="0" w:color="auto"/>
              <w:bottom w:val="single" w:sz="8" w:space="0" w:color="auto"/>
              <w:right w:val="single" w:sz="8" w:space="0" w:color="auto"/>
            </w:tcBorders>
            <w:shd w:val="clear" w:color="auto" w:fill="E0E0E0"/>
          </w:tcPr>
          <w:p w14:paraId="7F3BDD76" w14:textId="77777777" w:rsidR="004713EE" w:rsidRPr="00D16962" w:rsidRDefault="00576996" w:rsidP="004713EE">
            <w:pPr>
              <w:rPr>
                <w:rFonts w:cs="Arial"/>
                <w:b/>
              </w:rPr>
            </w:pPr>
            <w:r w:rsidRPr="00EB6CF9">
              <w:rPr>
                <w:rFonts w:cs="Arial"/>
                <w:b/>
              </w:rPr>
              <w:t>Erfolgsrechnung</w:t>
            </w:r>
            <w:r>
              <w:rPr>
                <w:rFonts w:cs="Arial"/>
                <w:b/>
              </w:rPr>
              <w:t xml:space="preserve"> (nur Abschreibungen auf Investitionen)</w:t>
            </w:r>
          </w:p>
        </w:tc>
      </w:tr>
      <w:tr w:rsidR="004713EE" w14:paraId="01E14E54" w14:textId="77777777" w:rsidTr="00F33EE1">
        <w:tc>
          <w:tcPr>
            <w:tcW w:w="425" w:type="dxa"/>
            <w:tcBorders>
              <w:top w:val="single" w:sz="8" w:space="0" w:color="auto"/>
              <w:left w:val="single" w:sz="8" w:space="0" w:color="auto"/>
              <w:bottom w:val="single" w:sz="4" w:space="0" w:color="auto"/>
              <w:right w:val="single" w:sz="4" w:space="0" w:color="auto"/>
            </w:tcBorders>
          </w:tcPr>
          <w:p w14:paraId="7B679518" w14:textId="77777777" w:rsidR="004713EE" w:rsidRPr="00D16962" w:rsidRDefault="00576996" w:rsidP="004713EE">
            <w:pPr>
              <w:rPr>
                <w:rFonts w:cs="Arial"/>
              </w:rPr>
            </w:pPr>
            <w:r>
              <w:rPr>
                <w:rFonts w:cs="Arial"/>
              </w:rPr>
              <w:t>3.</w:t>
            </w:r>
          </w:p>
        </w:tc>
        <w:tc>
          <w:tcPr>
            <w:tcW w:w="3426" w:type="dxa"/>
            <w:tcBorders>
              <w:top w:val="single" w:sz="8" w:space="0" w:color="auto"/>
              <w:left w:val="single" w:sz="4" w:space="0" w:color="auto"/>
              <w:bottom w:val="single" w:sz="4" w:space="0" w:color="auto"/>
              <w:right w:val="single" w:sz="4" w:space="0" w:color="auto"/>
            </w:tcBorders>
          </w:tcPr>
          <w:p w14:paraId="4FCFB5F3" w14:textId="77777777" w:rsidR="004713EE" w:rsidRPr="00D16962" w:rsidRDefault="00576996" w:rsidP="004713EE">
            <w:pPr>
              <w:rPr>
                <w:rFonts w:cs="Arial"/>
              </w:rPr>
            </w:pPr>
            <w:r w:rsidRPr="00D16962">
              <w:rPr>
                <w:rFonts w:cs="Arial"/>
              </w:rPr>
              <w:t>Gemäss Budget oder Finanzplan:</w:t>
            </w:r>
          </w:p>
          <w:p w14:paraId="6E840B68" w14:textId="77777777" w:rsidR="004713EE" w:rsidRPr="00D16962" w:rsidRDefault="00576996" w:rsidP="004713EE">
            <w:pPr>
              <w:rPr>
                <w:rFonts w:cs="Arial"/>
              </w:rPr>
            </w:pPr>
            <w:r w:rsidRPr="00D16962">
              <w:rPr>
                <w:rFonts w:cs="Arial"/>
              </w:rPr>
              <w:t>bereits</w:t>
            </w:r>
            <w:r>
              <w:rPr>
                <w:rFonts w:cs="Arial"/>
              </w:rPr>
              <w:t xml:space="preserve"> </w:t>
            </w:r>
            <w:r w:rsidRPr="00D16962">
              <w:rPr>
                <w:rFonts w:cs="Arial"/>
              </w:rPr>
              <w:t>geplante A</w:t>
            </w:r>
            <w:r>
              <w:rPr>
                <w:rFonts w:cs="Arial"/>
              </w:rPr>
              <w:t>bschreibungen</w:t>
            </w:r>
          </w:p>
        </w:tc>
        <w:tc>
          <w:tcPr>
            <w:tcW w:w="1261" w:type="dxa"/>
            <w:tcBorders>
              <w:top w:val="single" w:sz="8" w:space="0" w:color="auto"/>
              <w:left w:val="single" w:sz="4" w:space="0" w:color="auto"/>
              <w:bottom w:val="single" w:sz="4" w:space="0" w:color="auto"/>
              <w:right w:val="single" w:sz="4" w:space="0" w:color="auto"/>
            </w:tcBorders>
            <w:vAlign w:val="bottom"/>
          </w:tcPr>
          <w:p w14:paraId="5AB696B5" w14:textId="77777777" w:rsidR="004713EE" w:rsidRPr="009D3953"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single" w:sz="4" w:space="0" w:color="auto"/>
              <w:right w:val="single" w:sz="4" w:space="0" w:color="auto"/>
            </w:tcBorders>
            <w:vAlign w:val="bottom"/>
          </w:tcPr>
          <w:p w14:paraId="29C07665" w14:textId="77777777" w:rsidR="004713EE" w:rsidRPr="009D3953"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single" w:sz="4" w:space="0" w:color="auto"/>
              <w:right w:val="single" w:sz="4" w:space="0" w:color="auto"/>
            </w:tcBorders>
            <w:vAlign w:val="bottom"/>
          </w:tcPr>
          <w:p w14:paraId="578AD5F5" w14:textId="77777777" w:rsidR="004713EE" w:rsidRPr="009D3953"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single" w:sz="4" w:space="0" w:color="auto"/>
              <w:right w:val="single" w:sz="8" w:space="0" w:color="auto"/>
            </w:tcBorders>
            <w:vAlign w:val="bottom"/>
          </w:tcPr>
          <w:p w14:paraId="043F0CF9" w14:textId="77777777" w:rsidR="004713EE" w:rsidRPr="009D3953" w:rsidRDefault="004713EE" w:rsidP="004713EE">
            <w:pPr>
              <w:tabs>
                <w:tab w:val="left" w:pos="567"/>
                <w:tab w:val="left" w:pos="4536"/>
              </w:tabs>
              <w:jc w:val="right"/>
              <w:rPr>
                <w:rFonts w:cs="Arial"/>
              </w:rPr>
            </w:pPr>
          </w:p>
        </w:tc>
      </w:tr>
      <w:tr w:rsidR="004713EE" w14:paraId="062C0B86" w14:textId="77777777" w:rsidTr="00F33EE1">
        <w:tc>
          <w:tcPr>
            <w:tcW w:w="425" w:type="dxa"/>
            <w:tcBorders>
              <w:top w:val="single" w:sz="4" w:space="0" w:color="auto"/>
              <w:left w:val="single" w:sz="8" w:space="0" w:color="auto"/>
              <w:bottom w:val="single" w:sz="8" w:space="0" w:color="auto"/>
              <w:right w:val="single" w:sz="4" w:space="0" w:color="auto"/>
            </w:tcBorders>
          </w:tcPr>
          <w:p w14:paraId="3B86A3E3" w14:textId="77777777" w:rsidR="004713EE" w:rsidRPr="00D16962" w:rsidRDefault="00576996" w:rsidP="004713EE">
            <w:pPr>
              <w:rPr>
                <w:rFonts w:cs="Arial"/>
              </w:rPr>
            </w:pPr>
            <w:r>
              <w:rPr>
                <w:rFonts w:cs="Arial"/>
              </w:rPr>
              <w:t>4.</w:t>
            </w:r>
          </w:p>
        </w:tc>
        <w:tc>
          <w:tcPr>
            <w:tcW w:w="3426" w:type="dxa"/>
            <w:tcBorders>
              <w:top w:val="single" w:sz="4" w:space="0" w:color="auto"/>
              <w:left w:val="single" w:sz="4" w:space="0" w:color="auto"/>
              <w:bottom w:val="single" w:sz="8" w:space="0" w:color="auto"/>
              <w:right w:val="single" w:sz="4" w:space="0" w:color="auto"/>
            </w:tcBorders>
          </w:tcPr>
          <w:p w14:paraId="374A1E39" w14:textId="77777777" w:rsidR="004713EE" w:rsidRDefault="00576996" w:rsidP="004713EE">
            <w:pPr>
              <w:rPr>
                <w:rFonts w:cs="Arial"/>
              </w:rPr>
            </w:pPr>
            <w:r w:rsidRPr="00D16962">
              <w:rPr>
                <w:rFonts w:cs="Arial"/>
              </w:rPr>
              <w:t xml:space="preserve">Gemäss </w:t>
            </w:r>
            <w:r>
              <w:rPr>
                <w:rFonts w:cs="Arial"/>
              </w:rPr>
              <w:t>vorliegendem Antrag:</w:t>
            </w:r>
          </w:p>
          <w:p w14:paraId="31764A9F" w14:textId="77777777" w:rsidR="004713EE" w:rsidRPr="00D16962" w:rsidRDefault="00576996" w:rsidP="004713EE">
            <w:pPr>
              <w:rPr>
                <w:rFonts w:cs="Arial"/>
              </w:rPr>
            </w:pPr>
            <w:r>
              <w:rPr>
                <w:rFonts w:cs="Arial"/>
              </w:rPr>
              <w:t xml:space="preserve">effektive </w:t>
            </w:r>
            <w:r w:rsidRPr="00D16962">
              <w:rPr>
                <w:rFonts w:cs="Arial"/>
              </w:rPr>
              <w:t>A</w:t>
            </w:r>
            <w:r>
              <w:rPr>
                <w:rFonts w:cs="Arial"/>
              </w:rPr>
              <w:t>bschreibungen</w:t>
            </w:r>
          </w:p>
        </w:tc>
        <w:tc>
          <w:tcPr>
            <w:tcW w:w="1261" w:type="dxa"/>
            <w:tcBorders>
              <w:top w:val="single" w:sz="4" w:space="0" w:color="auto"/>
              <w:left w:val="single" w:sz="4" w:space="0" w:color="auto"/>
              <w:bottom w:val="single" w:sz="8" w:space="0" w:color="auto"/>
              <w:right w:val="single" w:sz="4" w:space="0" w:color="auto"/>
            </w:tcBorders>
            <w:vAlign w:val="bottom"/>
          </w:tcPr>
          <w:p w14:paraId="22198E67" w14:textId="77777777" w:rsidR="004713EE" w:rsidRPr="009D3953"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single" w:sz="8" w:space="0" w:color="auto"/>
              <w:right w:val="single" w:sz="4" w:space="0" w:color="auto"/>
            </w:tcBorders>
            <w:vAlign w:val="bottom"/>
          </w:tcPr>
          <w:p w14:paraId="4978DAB0" w14:textId="77777777" w:rsidR="004713EE" w:rsidRPr="009D3953"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single" w:sz="8" w:space="0" w:color="auto"/>
              <w:right w:val="single" w:sz="4" w:space="0" w:color="auto"/>
            </w:tcBorders>
            <w:vAlign w:val="bottom"/>
          </w:tcPr>
          <w:p w14:paraId="3C6A608A" w14:textId="77777777" w:rsidR="004713EE" w:rsidRPr="009D3953" w:rsidRDefault="004713EE" w:rsidP="004713EE">
            <w:pPr>
              <w:tabs>
                <w:tab w:val="left" w:pos="567"/>
                <w:tab w:val="left" w:pos="4536"/>
              </w:tabs>
              <w:jc w:val="right"/>
              <w:rPr>
                <w:rFonts w:cs="Arial"/>
              </w:rPr>
            </w:pPr>
          </w:p>
        </w:tc>
        <w:tc>
          <w:tcPr>
            <w:tcW w:w="1261" w:type="dxa"/>
            <w:tcBorders>
              <w:top w:val="single" w:sz="4" w:space="0" w:color="auto"/>
              <w:left w:val="single" w:sz="4" w:space="0" w:color="auto"/>
              <w:bottom w:val="single" w:sz="8" w:space="0" w:color="auto"/>
              <w:right w:val="single" w:sz="8" w:space="0" w:color="auto"/>
            </w:tcBorders>
            <w:vAlign w:val="bottom"/>
          </w:tcPr>
          <w:p w14:paraId="5806565D" w14:textId="77777777" w:rsidR="004713EE" w:rsidRPr="009D3953" w:rsidRDefault="004713EE" w:rsidP="004713EE">
            <w:pPr>
              <w:tabs>
                <w:tab w:val="left" w:pos="567"/>
                <w:tab w:val="left" w:pos="4536"/>
              </w:tabs>
              <w:jc w:val="right"/>
              <w:rPr>
                <w:rFonts w:cs="Arial"/>
              </w:rPr>
            </w:pPr>
          </w:p>
        </w:tc>
      </w:tr>
      <w:tr w:rsidR="004713EE" w14:paraId="4F5EAC45" w14:textId="77777777" w:rsidTr="00F33EE1">
        <w:tc>
          <w:tcPr>
            <w:tcW w:w="425" w:type="dxa"/>
            <w:tcBorders>
              <w:top w:val="single" w:sz="8" w:space="0" w:color="auto"/>
              <w:left w:val="single" w:sz="8" w:space="0" w:color="auto"/>
              <w:bottom w:val="single" w:sz="8" w:space="0" w:color="auto"/>
              <w:right w:val="single" w:sz="4" w:space="0" w:color="auto"/>
            </w:tcBorders>
            <w:shd w:val="clear" w:color="auto" w:fill="E0E0E0"/>
          </w:tcPr>
          <w:p w14:paraId="62C2D012" w14:textId="77777777" w:rsidR="004713EE" w:rsidRPr="00D16962" w:rsidRDefault="00576996" w:rsidP="004713EE">
            <w:pPr>
              <w:rPr>
                <w:rFonts w:cs="Arial"/>
                <w:b/>
              </w:rPr>
            </w:pPr>
            <w:r>
              <w:rPr>
                <w:rFonts w:cs="Arial"/>
                <w:b/>
              </w:rPr>
              <w:t>C</w:t>
            </w:r>
          </w:p>
        </w:tc>
        <w:tc>
          <w:tcPr>
            <w:tcW w:w="8470" w:type="dxa"/>
            <w:gridSpan w:val="5"/>
            <w:tcBorders>
              <w:top w:val="single" w:sz="8" w:space="0" w:color="auto"/>
              <w:left w:val="single" w:sz="4" w:space="0" w:color="auto"/>
              <w:bottom w:val="single" w:sz="8" w:space="0" w:color="auto"/>
              <w:right w:val="single" w:sz="8" w:space="0" w:color="auto"/>
            </w:tcBorders>
            <w:shd w:val="clear" w:color="auto" w:fill="E0E0E0"/>
          </w:tcPr>
          <w:p w14:paraId="66B52BD0" w14:textId="77777777" w:rsidR="004713EE" w:rsidRPr="00D16962" w:rsidRDefault="00576996" w:rsidP="004713EE">
            <w:pPr>
              <w:rPr>
                <w:rFonts w:cs="Arial"/>
                <w:b/>
              </w:rPr>
            </w:pPr>
            <w:r w:rsidRPr="00EB6CF9">
              <w:rPr>
                <w:rFonts w:cs="Arial"/>
                <w:b/>
              </w:rPr>
              <w:t>Erfolgsrechnung</w:t>
            </w:r>
            <w:r>
              <w:rPr>
                <w:rFonts w:cs="Arial"/>
                <w:b/>
              </w:rPr>
              <w:t xml:space="preserve"> (ohne Abschreibungen auf Investitionen)</w:t>
            </w:r>
          </w:p>
        </w:tc>
      </w:tr>
      <w:tr w:rsidR="004713EE" w14:paraId="280EAB97" w14:textId="77777777" w:rsidTr="00F33EE1">
        <w:tc>
          <w:tcPr>
            <w:tcW w:w="425" w:type="dxa"/>
            <w:vMerge w:val="restart"/>
            <w:tcBorders>
              <w:top w:val="single" w:sz="8" w:space="0" w:color="auto"/>
              <w:left w:val="single" w:sz="8" w:space="0" w:color="auto"/>
              <w:right w:val="single" w:sz="4" w:space="0" w:color="auto"/>
            </w:tcBorders>
          </w:tcPr>
          <w:p w14:paraId="7E03A782" w14:textId="77777777" w:rsidR="004713EE" w:rsidRPr="00D16962" w:rsidRDefault="00576996" w:rsidP="004713EE">
            <w:pPr>
              <w:tabs>
                <w:tab w:val="left" w:pos="567"/>
                <w:tab w:val="left" w:pos="4536"/>
              </w:tabs>
              <w:rPr>
                <w:rFonts w:cs="Arial"/>
              </w:rPr>
            </w:pPr>
            <w:r>
              <w:rPr>
                <w:rFonts w:cs="Arial"/>
              </w:rPr>
              <w:t>5</w:t>
            </w:r>
            <w:r w:rsidRPr="00D16962">
              <w:rPr>
                <w:rFonts w:cs="Arial"/>
              </w:rPr>
              <w:t>.</w:t>
            </w:r>
          </w:p>
        </w:tc>
        <w:tc>
          <w:tcPr>
            <w:tcW w:w="3426" w:type="dxa"/>
            <w:tcBorders>
              <w:top w:val="single" w:sz="8" w:space="0" w:color="auto"/>
              <w:left w:val="single" w:sz="4" w:space="0" w:color="auto"/>
              <w:bottom w:val="dashed" w:sz="2" w:space="0" w:color="auto"/>
              <w:right w:val="single" w:sz="4" w:space="0" w:color="auto"/>
            </w:tcBorders>
          </w:tcPr>
          <w:p w14:paraId="6D3E1B43" w14:textId="77777777" w:rsidR="004713EE" w:rsidRPr="00D16962" w:rsidRDefault="00576996" w:rsidP="004713EE">
            <w:pPr>
              <w:rPr>
                <w:rFonts w:cs="Arial"/>
              </w:rPr>
            </w:pPr>
            <w:r w:rsidRPr="00D16962">
              <w:rPr>
                <w:rFonts w:cs="Arial"/>
              </w:rPr>
              <w:t>Gemäss Budget oder Finanzplan:</w:t>
            </w:r>
          </w:p>
          <w:p w14:paraId="02A8CF0E" w14:textId="77777777" w:rsidR="004713EE" w:rsidRPr="00D16962" w:rsidRDefault="00576996" w:rsidP="004713EE">
            <w:pPr>
              <w:tabs>
                <w:tab w:val="left" w:pos="567"/>
                <w:tab w:val="left" w:pos="4536"/>
              </w:tabs>
              <w:rPr>
                <w:rFonts w:cs="Arial"/>
              </w:rPr>
            </w:pPr>
            <w:r w:rsidRPr="00D16962">
              <w:rPr>
                <w:rFonts w:cs="Arial"/>
              </w:rPr>
              <w:t>bereits geplanter Aufwand</w:t>
            </w:r>
          </w:p>
        </w:tc>
        <w:tc>
          <w:tcPr>
            <w:tcW w:w="1261" w:type="dxa"/>
            <w:tcBorders>
              <w:top w:val="single" w:sz="8" w:space="0" w:color="auto"/>
              <w:left w:val="single" w:sz="4" w:space="0" w:color="auto"/>
              <w:bottom w:val="dashed" w:sz="2" w:space="0" w:color="auto"/>
              <w:right w:val="single" w:sz="4" w:space="0" w:color="auto"/>
            </w:tcBorders>
            <w:vAlign w:val="bottom"/>
          </w:tcPr>
          <w:p w14:paraId="211C0D5A"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4" w:space="0" w:color="auto"/>
            </w:tcBorders>
            <w:vAlign w:val="bottom"/>
          </w:tcPr>
          <w:p w14:paraId="4C38F131"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4" w:space="0" w:color="auto"/>
            </w:tcBorders>
            <w:vAlign w:val="bottom"/>
          </w:tcPr>
          <w:p w14:paraId="3F89B7D2" w14:textId="77777777" w:rsidR="004713EE" w:rsidRPr="00D16962" w:rsidRDefault="004713EE" w:rsidP="004713EE">
            <w:pPr>
              <w:tabs>
                <w:tab w:val="left" w:pos="567"/>
                <w:tab w:val="left" w:pos="4536"/>
              </w:tabs>
              <w:jc w:val="right"/>
              <w:rPr>
                <w:rFonts w:cs="Arial"/>
              </w:rPr>
            </w:pPr>
          </w:p>
        </w:tc>
        <w:tc>
          <w:tcPr>
            <w:tcW w:w="1261" w:type="dxa"/>
            <w:tcBorders>
              <w:top w:val="single" w:sz="8" w:space="0" w:color="auto"/>
              <w:left w:val="single" w:sz="4" w:space="0" w:color="auto"/>
              <w:bottom w:val="dashed" w:sz="2" w:space="0" w:color="auto"/>
              <w:right w:val="single" w:sz="8" w:space="0" w:color="auto"/>
            </w:tcBorders>
            <w:vAlign w:val="bottom"/>
          </w:tcPr>
          <w:p w14:paraId="215DD705" w14:textId="77777777" w:rsidR="004713EE" w:rsidRPr="00D16962" w:rsidRDefault="004713EE" w:rsidP="004713EE">
            <w:pPr>
              <w:tabs>
                <w:tab w:val="left" w:pos="567"/>
                <w:tab w:val="left" w:pos="4536"/>
              </w:tabs>
              <w:jc w:val="right"/>
              <w:rPr>
                <w:rFonts w:cs="Arial"/>
              </w:rPr>
            </w:pPr>
          </w:p>
        </w:tc>
      </w:tr>
      <w:tr w:rsidR="004713EE" w14:paraId="6E7C1B7D" w14:textId="77777777" w:rsidTr="00F33EE1">
        <w:trPr>
          <w:trHeight w:val="226"/>
        </w:trPr>
        <w:tc>
          <w:tcPr>
            <w:tcW w:w="425" w:type="dxa"/>
            <w:vMerge/>
            <w:tcBorders>
              <w:left w:val="single" w:sz="8" w:space="0" w:color="auto"/>
              <w:bottom w:val="single" w:sz="4" w:space="0" w:color="auto"/>
              <w:right w:val="single" w:sz="4" w:space="0" w:color="auto"/>
            </w:tcBorders>
          </w:tcPr>
          <w:p w14:paraId="55D9925A" w14:textId="77777777" w:rsidR="004713EE" w:rsidRPr="00D16962" w:rsidRDefault="004713EE" w:rsidP="004713EE">
            <w:pPr>
              <w:tabs>
                <w:tab w:val="left" w:pos="567"/>
                <w:tab w:val="left" w:pos="4536"/>
              </w:tabs>
              <w:rPr>
                <w:rFonts w:cs="Arial"/>
              </w:rPr>
            </w:pPr>
          </w:p>
        </w:tc>
        <w:tc>
          <w:tcPr>
            <w:tcW w:w="3426" w:type="dxa"/>
            <w:tcBorders>
              <w:top w:val="dashed" w:sz="2" w:space="0" w:color="auto"/>
              <w:left w:val="single" w:sz="4" w:space="0" w:color="auto"/>
              <w:bottom w:val="single" w:sz="4" w:space="0" w:color="auto"/>
              <w:right w:val="single" w:sz="4" w:space="0" w:color="auto"/>
            </w:tcBorders>
          </w:tcPr>
          <w:p w14:paraId="16D06003" w14:textId="77777777" w:rsidR="004713EE" w:rsidRPr="00D16962" w:rsidRDefault="00576996" w:rsidP="004713EE">
            <w:pPr>
              <w:tabs>
                <w:tab w:val="left" w:pos="567"/>
                <w:tab w:val="left" w:pos="4536"/>
              </w:tabs>
              <w:rPr>
                <w:rFonts w:cs="Arial"/>
              </w:rPr>
            </w:pPr>
            <w:r w:rsidRPr="00D16962">
              <w:rPr>
                <w:rFonts w:cs="Arial"/>
              </w:rPr>
              <w:t>bereits geplanter Ertrag</w:t>
            </w:r>
          </w:p>
        </w:tc>
        <w:tc>
          <w:tcPr>
            <w:tcW w:w="1261" w:type="dxa"/>
            <w:tcBorders>
              <w:top w:val="dashed" w:sz="2" w:space="0" w:color="auto"/>
              <w:left w:val="single" w:sz="4" w:space="0" w:color="auto"/>
              <w:bottom w:val="single" w:sz="4" w:space="0" w:color="auto"/>
              <w:right w:val="single" w:sz="4" w:space="0" w:color="auto"/>
            </w:tcBorders>
            <w:vAlign w:val="bottom"/>
          </w:tcPr>
          <w:p w14:paraId="53001A59"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45FF9835"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797EF4DA"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8" w:space="0" w:color="auto"/>
            </w:tcBorders>
            <w:vAlign w:val="bottom"/>
          </w:tcPr>
          <w:p w14:paraId="168459F7" w14:textId="77777777" w:rsidR="004713EE" w:rsidRPr="00D16962" w:rsidRDefault="004713EE" w:rsidP="004713EE">
            <w:pPr>
              <w:tabs>
                <w:tab w:val="left" w:pos="567"/>
                <w:tab w:val="left" w:pos="4536"/>
              </w:tabs>
              <w:jc w:val="right"/>
              <w:rPr>
                <w:rFonts w:cs="Arial"/>
              </w:rPr>
            </w:pPr>
          </w:p>
        </w:tc>
      </w:tr>
      <w:tr w:rsidR="00F33EE1" w14:paraId="061FADD5" w14:textId="77777777" w:rsidTr="00F3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2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899374" w14:textId="77777777" w:rsidR="00F33EE1" w:rsidRDefault="00F33EE1">
            <w:pPr>
              <w:rPr>
                <w:rFonts w:ascii="Calibri" w:hAnsi="Calibri"/>
                <w:spacing w:val="0"/>
              </w:rPr>
            </w:pPr>
            <w:r>
              <w:t>6.</w:t>
            </w:r>
          </w:p>
        </w:tc>
        <w:tc>
          <w:tcPr>
            <w:tcW w:w="3426" w:type="dxa"/>
            <w:tcBorders>
              <w:top w:val="nil"/>
              <w:left w:val="nil"/>
              <w:bottom w:val="dashed" w:sz="8" w:space="0" w:color="auto"/>
              <w:right w:val="single" w:sz="8" w:space="0" w:color="auto"/>
            </w:tcBorders>
            <w:tcMar>
              <w:top w:w="0" w:type="dxa"/>
              <w:left w:w="70" w:type="dxa"/>
              <w:bottom w:w="0" w:type="dxa"/>
              <w:right w:w="70" w:type="dxa"/>
            </w:tcMar>
            <w:hideMark/>
          </w:tcPr>
          <w:p w14:paraId="5CEAB1AA" w14:textId="77777777" w:rsidR="00F33EE1" w:rsidRDefault="00F33EE1">
            <w:r>
              <w:t>Gemäss vorliegendem Antrag:</w:t>
            </w:r>
          </w:p>
          <w:p w14:paraId="32AEAF95" w14:textId="77777777" w:rsidR="00F33EE1" w:rsidRDefault="00F33EE1">
            <w:r>
              <w:t>effektiver Aufwand</w:t>
            </w:r>
          </w:p>
        </w:tc>
        <w:tc>
          <w:tcPr>
            <w:tcW w:w="1261" w:type="dxa"/>
            <w:tcBorders>
              <w:top w:val="nil"/>
              <w:left w:val="nil"/>
              <w:bottom w:val="dashed" w:sz="8" w:space="0" w:color="auto"/>
              <w:right w:val="single" w:sz="8" w:space="0" w:color="auto"/>
            </w:tcBorders>
            <w:tcMar>
              <w:top w:w="0" w:type="dxa"/>
              <w:left w:w="70" w:type="dxa"/>
              <w:bottom w:w="0" w:type="dxa"/>
              <w:right w:w="70" w:type="dxa"/>
            </w:tcMar>
            <w:vAlign w:val="bottom"/>
            <w:hideMark/>
          </w:tcPr>
          <w:p w14:paraId="7292C563" w14:textId="77777777" w:rsidR="00F33EE1" w:rsidRDefault="00F33EE1">
            <w:pPr>
              <w:jc w:val="right"/>
            </w:pPr>
            <w:r>
              <w:t>0</w:t>
            </w:r>
          </w:p>
        </w:tc>
        <w:tc>
          <w:tcPr>
            <w:tcW w:w="1261" w:type="dxa"/>
            <w:tcBorders>
              <w:top w:val="nil"/>
              <w:left w:val="nil"/>
              <w:bottom w:val="dashed" w:sz="8" w:space="0" w:color="auto"/>
              <w:right w:val="single" w:sz="8" w:space="0" w:color="auto"/>
            </w:tcBorders>
            <w:tcMar>
              <w:top w:w="0" w:type="dxa"/>
              <w:left w:w="70" w:type="dxa"/>
              <w:bottom w:w="0" w:type="dxa"/>
              <w:right w:w="70" w:type="dxa"/>
            </w:tcMar>
            <w:vAlign w:val="bottom"/>
            <w:hideMark/>
          </w:tcPr>
          <w:p w14:paraId="03AB5424" w14:textId="0DB3B764" w:rsidR="00F33EE1" w:rsidRDefault="00BB79BB">
            <w:pPr>
              <w:jc w:val="right"/>
            </w:pPr>
            <w:r>
              <w:t>2</w:t>
            </w:r>
            <w:r w:rsidR="00F33EE1">
              <w:t>2 800</w:t>
            </w:r>
          </w:p>
        </w:tc>
        <w:tc>
          <w:tcPr>
            <w:tcW w:w="1261" w:type="dxa"/>
            <w:tcBorders>
              <w:top w:val="nil"/>
              <w:left w:val="nil"/>
              <w:bottom w:val="dashed" w:sz="8" w:space="0" w:color="auto"/>
              <w:right w:val="single" w:sz="8" w:space="0" w:color="auto"/>
            </w:tcBorders>
            <w:tcMar>
              <w:top w:w="0" w:type="dxa"/>
              <w:left w:w="70" w:type="dxa"/>
              <w:bottom w:w="0" w:type="dxa"/>
              <w:right w:w="70" w:type="dxa"/>
            </w:tcMar>
            <w:vAlign w:val="bottom"/>
            <w:hideMark/>
          </w:tcPr>
          <w:p w14:paraId="5EC78F37" w14:textId="428F2901" w:rsidR="00F33EE1" w:rsidRDefault="00BB79BB">
            <w:pPr>
              <w:jc w:val="right"/>
            </w:pPr>
            <w:r>
              <w:t>2</w:t>
            </w:r>
            <w:r w:rsidR="00F33EE1">
              <w:t>2 800</w:t>
            </w:r>
          </w:p>
        </w:tc>
        <w:tc>
          <w:tcPr>
            <w:tcW w:w="1261" w:type="dxa"/>
            <w:tcBorders>
              <w:top w:val="nil"/>
              <w:left w:val="nil"/>
              <w:bottom w:val="dashed" w:sz="8" w:space="0" w:color="auto"/>
              <w:right w:val="single" w:sz="8" w:space="0" w:color="auto"/>
            </w:tcBorders>
            <w:tcMar>
              <w:top w:w="0" w:type="dxa"/>
              <w:left w:w="70" w:type="dxa"/>
              <w:bottom w:w="0" w:type="dxa"/>
              <w:right w:w="70" w:type="dxa"/>
            </w:tcMar>
            <w:vAlign w:val="bottom"/>
            <w:hideMark/>
          </w:tcPr>
          <w:p w14:paraId="28CE1C48" w14:textId="0924F59E" w:rsidR="00F33EE1" w:rsidRDefault="00BB79BB">
            <w:pPr>
              <w:jc w:val="right"/>
            </w:pPr>
            <w:r>
              <w:t>2</w:t>
            </w:r>
            <w:r w:rsidR="00F33EE1">
              <w:t>2 800</w:t>
            </w:r>
          </w:p>
        </w:tc>
      </w:tr>
      <w:tr w:rsidR="004713EE" w14:paraId="34BC5E61" w14:textId="77777777" w:rsidTr="00F33EE1">
        <w:tc>
          <w:tcPr>
            <w:tcW w:w="425" w:type="dxa"/>
            <w:vMerge/>
            <w:tcBorders>
              <w:top w:val="single" w:sz="12" w:space="0" w:color="auto"/>
              <w:left w:val="single" w:sz="8" w:space="0" w:color="auto"/>
              <w:bottom w:val="single" w:sz="4" w:space="0" w:color="auto"/>
              <w:right w:val="single" w:sz="4" w:space="0" w:color="auto"/>
            </w:tcBorders>
            <w:shd w:val="clear" w:color="auto" w:fill="auto"/>
          </w:tcPr>
          <w:p w14:paraId="6C42CD20" w14:textId="77777777" w:rsidR="004713EE" w:rsidRPr="00D16962" w:rsidRDefault="004713EE" w:rsidP="004713EE">
            <w:pPr>
              <w:tabs>
                <w:tab w:val="left" w:pos="567"/>
                <w:tab w:val="left" w:pos="4536"/>
              </w:tabs>
              <w:rPr>
                <w:rFonts w:cs="Arial"/>
              </w:rPr>
            </w:pPr>
          </w:p>
        </w:tc>
        <w:tc>
          <w:tcPr>
            <w:tcW w:w="3426" w:type="dxa"/>
            <w:tcBorders>
              <w:top w:val="dashed" w:sz="2" w:space="0" w:color="auto"/>
              <w:left w:val="single" w:sz="4" w:space="0" w:color="auto"/>
              <w:bottom w:val="single" w:sz="4" w:space="0" w:color="auto"/>
              <w:right w:val="single" w:sz="4" w:space="0" w:color="auto"/>
            </w:tcBorders>
          </w:tcPr>
          <w:p w14:paraId="59C42834" w14:textId="77777777" w:rsidR="004713EE" w:rsidRPr="00D16962" w:rsidRDefault="00576996" w:rsidP="004713EE">
            <w:pPr>
              <w:tabs>
                <w:tab w:val="left" w:pos="567"/>
                <w:tab w:val="left" w:pos="4536"/>
              </w:tabs>
              <w:rPr>
                <w:rFonts w:cs="Arial"/>
              </w:rPr>
            </w:pPr>
            <w:r w:rsidRPr="00D16962">
              <w:rPr>
                <w:rFonts w:cs="Arial"/>
              </w:rPr>
              <w:t>effektiver Ertrag</w:t>
            </w:r>
          </w:p>
        </w:tc>
        <w:tc>
          <w:tcPr>
            <w:tcW w:w="1261" w:type="dxa"/>
            <w:tcBorders>
              <w:top w:val="dashed" w:sz="2" w:space="0" w:color="auto"/>
              <w:left w:val="single" w:sz="4" w:space="0" w:color="auto"/>
              <w:bottom w:val="single" w:sz="4" w:space="0" w:color="auto"/>
              <w:right w:val="single" w:sz="4" w:space="0" w:color="auto"/>
            </w:tcBorders>
            <w:vAlign w:val="bottom"/>
          </w:tcPr>
          <w:p w14:paraId="55473C2A"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28DBF8F7"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19EAF02D" w14:textId="77777777" w:rsidR="004713EE" w:rsidRPr="00D16962" w:rsidRDefault="004713EE" w:rsidP="004713EE">
            <w:pPr>
              <w:tabs>
                <w:tab w:val="left" w:pos="567"/>
                <w:tab w:val="left" w:pos="4536"/>
              </w:tabs>
              <w:jc w:val="right"/>
              <w:rPr>
                <w:rFonts w:cs="Arial"/>
              </w:rPr>
            </w:pPr>
          </w:p>
        </w:tc>
        <w:tc>
          <w:tcPr>
            <w:tcW w:w="1261" w:type="dxa"/>
            <w:tcBorders>
              <w:top w:val="dashed" w:sz="2" w:space="0" w:color="auto"/>
              <w:left w:val="single" w:sz="4" w:space="0" w:color="auto"/>
              <w:bottom w:val="single" w:sz="4" w:space="0" w:color="auto"/>
              <w:right w:val="single" w:sz="4" w:space="0" w:color="auto"/>
            </w:tcBorders>
            <w:vAlign w:val="bottom"/>
          </w:tcPr>
          <w:p w14:paraId="650CBD05" w14:textId="77777777" w:rsidR="004713EE" w:rsidRPr="00D16962" w:rsidRDefault="004713EE" w:rsidP="004713EE">
            <w:pPr>
              <w:tabs>
                <w:tab w:val="left" w:pos="567"/>
                <w:tab w:val="left" w:pos="4536"/>
              </w:tabs>
              <w:jc w:val="right"/>
              <w:rPr>
                <w:rFonts w:cs="Arial"/>
              </w:rPr>
            </w:pPr>
          </w:p>
        </w:tc>
      </w:tr>
    </w:tbl>
    <w:p w14:paraId="44E3260B" w14:textId="640D475B" w:rsidR="0012745A" w:rsidRDefault="0012745A" w:rsidP="00682F17">
      <w:pPr>
        <w:rPr>
          <w:rFonts w:cs="Arial"/>
        </w:rPr>
      </w:pPr>
    </w:p>
    <w:p w14:paraId="41BF465E" w14:textId="3DD0C8B8" w:rsidR="00CB32A8" w:rsidRDefault="00CB32A8" w:rsidP="00682F17">
      <w:pPr>
        <w:rPr>
          <w:rFonts w:cs="Arial"/>
        </w:rPr>
      </w:pPr>
    </w:p>
    <w:p w14:paraId="0DB10B9F" w14:textId="77777777" w:rsidR="00EC7F83" w:rsidRDefault="00EC7F83" w:rsidP="00682F17">
      <w:pPr>
        <w:rPr>
          <w:rFonts w:cs="Arial"/>
        </w:rPr>
      </w:pPr>
    </w:p>
    <w:p w14:paraId="397D88DA" w14:textId="59A992A8" w:rsidR="00682F17" w:rsidRPr="00682F17" w:rsidRDefault="00C50C1E" w:rsidP="00146B6F">
      <w:pPr>
        <w:tabs>
          <w:tab w:val="left" w:pos="567"/>
        </w:tabs>
      </w:pPr>
      <w:r>
        <w:rPr>
          <w:rFonts w:cs="Arial"/>
        </w:rPr>
        <w:lastRenderedPageBreak/>
        <w:t>8</w:t>
      </w:r>
      <w:r w:rsidR="00146B6F">
        <w:rPr>
          <w:rFonts w:cs="Arial"/>
        </w:rPr>
        <w:t>.</w:t>
      </w:r>
      <w:r w:rsidR="00682F17" w:rsidRPr="00682F17">
        <w:rPr>
          <w:rFonts w:cs="Arial"/>
        </w:rPr>
        <w:t xml:space="preserve">2. </w:t>
      </w:r>
      <w:r w:rsidR="00146B6F">
        <w:rPr>
          <w:rFonts w:cs="Arial"/>
        </w:rPr>
        <w:tab/>
      </w:r>
      <w:r w:rsidR="00682F17" w:rsidRPr="00682F17">
        <w:t>Finanzielle Auswirkungen auf die Gemeinden</w:t>
      </w:r>
    </w:p>
    <w:p w14:paraId="1FF7F654" w14:textId="77777777" w:rsidR="007D06B7" w:rsidRPr="00682F17" w:rsidRDefault="007D06B7" w:rsidP="00682F17">
      <w:pPr>
        <w:rPr>
          <w:rFonts w:cs="Arial"/>
        </w:rPr>
      </w:pPr>
      <w:r w:rsidRPr="00682F17">
        <w:rPr>
          <w:rFonts w:cs="Arial"/>
        </w:rPr>
        <w:t>Diese Vorlage hat keine finanziellen Auswirkungen auf die Gemeinden.</w:t>
      </w:r>
    </w:p>
    <w:p w14:paraId="06B1B3E9" w14:textId="77777777" w:rsidR="007D06B7" w:rsidRPr="00682F17" w:rsidRDefault="007D06B7" w:rsidP="007D06B7">
      <w:pPr>
        <w:rPr>
          <w:rFonts w:cs="Arial"/>
        </w:rPr>
      </w:pPr>
    </w:p>
    <w:p w14:paraId="6A4F9861" w14:textId="596C2327" w:rsidR="007D06B7" w:rsidRPr="00682F17" w:rsidRDefault="00C50C1E" w:rsidP="00146B6F">
      <w:pPr>
        <w:tabs>
          <w:tab w:val="left" w:pos="567"/>
        </w:tabs>
        <w:rPr>
          <w:rFonts w:cs="Arial"/>
        </w:rPr>
      </w:pPr>
      <w:r>
        <w:rPr>
          <w:rFonts w:cs="Arial"/>
        </w:rPr>
        <w:t>8</w:t>
      </w:r>
      <w:r w:rsidR="00146B6F">
        <w:rPr>
          <w:rFonts w:cs="Arial"/>
        </w:rPr>
        <w:t>.</w:t>
      </w:r>
      <w:r w:rsidR="007D06B7" w:rsidRPr="00682F17">
        <w:rPr>
          <w:rFonts w:cs="Arial"/>
        </w:rPr>
        <w:t xml:space="preserve">3. </w:t>
      </w:r>
      <w:r w:rsidR="00146B6F">
        <w:rPr>
          <w:rFonts w:cs="Arial"/>
        </w:rPr>
        <w:tab/>
      </w:r>
      <w:r w:rsidR="007D06B7" w:rsidRPr="00682F17">
        <w:rPr>
          <w:rFonts w:cs="Arial"/>
        </w:rPr>
        <w:t>Anpassungen von Leistungsaufträgen</w:t>
      </w:r>
    </w:p>
    <w:p w14:paraId="0A95BDEC" w14:textId="77777777" w:rsidR="007D06B7" w:rsidRDefault="007D06B7" w:rsidP="007D06B7">
      <w:r w:rsidRPr="00682F17">
        <w:t>Diese Vorlage hat keine Anpassungen von Leistungsaufträgen zur Folge.</w:t>
      </w:r>
    </w:p>
    <w:p w14:paraId="7E9B6ABB" w14:textId="5F0421CA" w:rsidR="006C27A0" w:rsidRDefault="006C27A0" w:rsidP="004713EE">
      <w:bookmarkStart w:id="17" w:name="_GoBack"/>
      <w:bookmarkEnd w:id="17"/>
    </w:p>
    <w:p w14:paraId="57C62D70" w14:textId="77777777" w:rsidR="00BF5D62" w:rsidRDefault="00BF5D62" w:rsidP="004713EE"/>
    <w:p w14:paraId="2B5A9147" w14:textId="248D6D21" w:rsidR="004713EE" w:rsidRPr="00682F17" w:rsidRDefault="00C50C1E" w:rsidP="00682F17">
      <w:pPr>
        <w:autoSpaceDE w:val="0"/>
        <w:autoSpaceDN w:val="0"/>
        <w:adjustRightInd w:val="0"/>
        <w:ind w:left="567" w:hanging="567"/>
        <w:outlineLvl w:val="0"/>
        <w:rPr>
          <w:rFonts w:cs="Arial"/>
          <w:b/>
          <w:bCs/>
        </w:rPr>
      </w:pPr>
      <w:r>
        <w:rPr>
          <w:rFonts w:cs="Arial"/>
          <w:b/>
          <w:bCs/>
        </w:rPr>
        <w:t>9</w:t>
      </w:r>
      <w:r w:rsidR="007D06B7" w:rsidRPr="00682F17">
        <w:rPr>
          <w:rFonts w:cs="Arial"/>
          <w:b/>
          <w:bCs/>
        </w:rPr>
        <w:t xml:space="preserve">. </w:t>
      </w:r>
      <w:r w:rsidR="00682F17">
        <w:rPr>
          <w:rFonts w:cs="Arial"/>
          <w:b/>
          <w:bCs/>
        </w:rPr>
        <w:tab/>
      </w:r>
      <w:r w:rsidR="00576996" w:rsidRPr="00682F17">
        <w:rPr>
          <w:rFonts w:cs="Arial"/>
          <w:b/>
          <w:bCs/>
        </w:rPr>
        <w:t>Zeitplan</w:t>
      </w:r>
    </w:p>
    <w:p w14:paraId="05199DE4" w14:textId="77777777" w:rsidR="006C27A0" w:rsidRPr="0050498B" w:rsidRDefault="006C27A0" w:rsidP="004713EE"/>
    <w:p w14:paraId="42CADEE9" w14:textId="77777777" w:rsidR="007D06B7" w:rsidRPr="00642D18" w:rsidRDefault="007D06B7" w:rsidP="007D06B7">
      <w:pPr>
        <w:autoSpaceDE w:val="0"/>
        <w:autoSpaceDN w:val="0"/>
        <w:adjustRightInd w:val="0"/>
        <w:outlineLvl w:val="0"/>
        <w:rPr>
          <w:rFonts w:cs="Arial"/>
          <w:bCs/>
        </w:rPr>
      </w:pPr>
      <w:r w:rsidRPr="00642D18">
        <w:rPr>
          <w:rFonts w:cs="Arial"/>
          <w:bCs/>
        </w:rPr>
        <w:t>Der voraussichtliche Zeitplan präsentiert sich wie folgt:</w:t>
      </w:r>
    </w:p>
    <w:p w14:paraId="7BD67B7D" w14:textId="77777777" w:rsidR="007D06B7" w:rsidRPr="00642D18" w:rsidRDefault="007D06B7" w:rsidP="007D06B7">
      <w:pPr>
        <w:autoSpaceDE w:val="0"/>
        <w:autoSpaceDN w:val="0"/>
        <w:adjustRightInd w:val="0"/>
        <w:outlineLvl w:val="0"/>
        <w:rPr>
          <w:rFonts w:cs="Arial"/>
          <w:b/>
          <w:bCs/>
        </w:rPr>
      </w:pPr>
    </w:p>
    <w:tbl>
      <w:tblPr>
        <w:tblW w:w="9901" w:type="dxa"/>
        <w:tblLayout w:type="fixed"/>
        <w:tblCellMar>
          <w:left w:w="0" w:type="dxa"/>
          <w:right w:w="0" w:type="dxa"/>
        </w:tblCellMar>
        <w:tblLook w:val="01E0" w:firstRow="1" w:lastRow="1" w:firstColumn="1" w:lastColumn="1" w:noHBand="0" w:noVBand="0"/>
      </w:tblPr>
      <w:tblGrid>
        <w:gridCol w:w="3402"/>
        <w:gridCol w:w="6499"/>
      </w:tblGrid>
      <w:tr w:rsidR="007D06B7" w:rsidRPr="00642D18" w14:paraId="45702DFF" w14:textId="77777777" w:rsidTr="00EC7F83">
        <w:tc>
          <w:tcPr>
            <w:tcW w:w="3402" w:type="dxa"/>
          </w:tcPr>
          <w:p w14:paraId="6E4C6B5C" w14:textId="60A05C49" w:rsidR="007D06B7" w:rsidRPr="0094329B" w:rsidRDefault="007D06B7" w:rsidP="0094329B">
            <w:pPr>
              <w:pStyle w:val="NurText"/>
              <w:spacing w:line="280" w:lineRule="atLeast"/>
              <w:rPr>
                <w:rFonts w:cs="Arial"/>
              </w:rPr>
            </w:pPr>
          </w:p>
        </w:tc>
        <w:tc>
          <w:tcPr>
            <w:tcW w:w="6499" w:type="dxa"/>
          </w:tcPr>
          <w:p w14:paraId="04BF997E" w14:textId="0301396F" w:rsidR="007D06B7" w:rsidRPr="00642D18" w:rsidRDefault="007D06B7" w:rsidP="0094329B">
            <w:pPr>
              <w:pStyle w:val="NurText"/>
              <w:spacing w:line="280" w:lineRule="atLeast"/>
              <w:rPr>
                <w:rFonts w:cs="Arial"/>
              </w:rPr>
            </w:pPr>
          </w:p>
        </w:tc>
      </w:tr>
      <w:tr w:rsidR="007D06B7" w:rsidRPr="00642D18" w14:paraId="4A07B910" w14:textId="77777777" w:rsidTr="00EC7F83">
        <w:tc>
          <w:tcPr>
            <w:tcW w:w="3402" w:type="dxa"/>
          </w:tcPr>
          <w:p w14:paraId="7BA16474" w14:textId="1AD51CA1" w:rsidR="007D06B7" w:rsidRPr="00F61F9F" w:rsidRDefault="001D2907" w:rsidP="0094329B">
            <w:pPr>
              <w:pStyle w:val="NurText"/>
              <w:spacing w:line="280" w:lineRule="atLeast"/>
              <w:rPr>
                <w:rFonts w:cs="Arial"/>
              </w:rPr>
            </w:pPr>
            <w:r>
              <w:rPr>
                <w:rFonts w:cs="Arial"/>
              </w:rPr>
              <w:t>4</w:t>
            </w:r>
            <w:r w:rsidR="007D06B7" w:rsidRPr="0094329B">
              <w:rPr>
                <w:rFonts w:cs="Arial"/>
              </w:rPr>
              <w:t xml:space="preserve">. </w:t>
            </w:r>
            <w:r>
              <w:rPr>
                <w:rFonts w:cs="Arial"/>
              </w:rPr>
              <w:t>April</w:t>
            </w:r>
            <w:r w:rsidR="007D06B7" w:rsidRPr="0094329B">
              <w:rPr>
                <w:rFonts w:cs="Arial"/>
              </w:rPr>
              <w:t xml:space="preserve"> 202</w:t>
            </w:r>
            <w:r w:rsidR="00A206A3">
              <w:rPr>
                <w:rFonts w:cs="Arial"/>
              </w:rPr>
              <w:t>3</w:t>
            </w:r>
          </w:p>
        </w:tc>
        <w:tc>
          <w:tcPr>
            <w:tcW w:w="6499" w:type="dxa"/>
          </w:tcPr>
          <w:p w14:paraId="7997A7A7" w14:textId="77777777" w:rsidR="007D06B7" w:rsidRPr="00642D18" w:rsidRDefault="007D06B7" w:rsidP="0094329B">
            <w:pPr>
              <w:pStyle w:val="NurText"/>
              <w:spacing w:line="280" w:lineRule="atLeast"/>
              <w:rPr>
                <w:rFonts w:cs="Arial"/>
              </w:rPr>
            </w:pPr>
            <w:r>
              <w:rPr>
                <w:rFonts w:cs="Arial"/>
              </w:rPr>
              <w:t>1. Lesung Regierungsrat</w:t>
            </w:r>
          </w:p>
        </w:tc>
      </w:tr>
      <w:tr w:rsidR="007D06B7" w:rsidRPr="00642D18" w14:paraId="04FB6A51" w14:textId="77777777" w:rsidTr="00EC7F83">
        <w:tc>
          <w:tcPr>
            <w:tcW w:w="3402" w:type="dxa"/>
          </w:tcPr>
          <w:p w14:paraId="25537D58" w14:textId="7CB81AB6" w:rsidR="007D06B7" w:rsidRPr="00121C0D" w:rsidRDefault="00A206A3" w:rsidP="004713EE">
            <w:pPr>
              <w:autoSpaceDE w:val="0"/>
              <w:autoSpaceDN w:val="0"/>
              <w:rPr>
                <w:rFonts w:cs="Arial"/>
              </w:rPr>
            </w:pPr>
            <w:r>
              <w:rPr>
                <w:bCs/>
              </w:rPr>
              <w:t>April/Mai</w:t>
            </w:r>
            <w:r w:rsidR="003B26FD">
              <w:rPr>
                <w:bCs/>
              </w:rPr>
              <w:t>/Juni</w:t>
            </w:r>
            <w:r w:rsidR="00A12867">
              <w:rPr>
                <w:bCs/>
              </w:rPr>
              <w:t>/Juli</w:t>
            </w:r>
            <w:r w:rsidR="007D06B7" w:rsidRPr="00121C0D">
              <w:rPr>
                <w:bCs/>
              </w:rPr>
              <w:t xml:space="preserve"> 2023</w:t>
            </w:r>
          </w:p>
        </w:tc>
        <w:tc>
          <w:tcPr>
            <w:tcW w:w="6499" w:type="dxa"/>
          </w:tcPr>
          <w:p w14:paraId="0EFC6D57" w14:textId="2EC08BDA" w:rsidR="007D06B7" w:rsidRPr="00642D18" w:rsidRDefault="007D06B7" w:rsidP="004713EE">
            <w:pPr>
              <w:pStyle w:val="NurText"/>
              <w:spacing w:line="280" w:lineRule="atLeast"/>
              <w:rPr>
                <w:rFonts w:cs="Arial"/>
              </w:rPr>
            </w:pPr>
            <w:r>
              <w:rPr>
                <w:rFonts w:cs="Arial"/>
              </w:rPr>
              <w:t>Externe Vernehmlassung</w:t>
            </w:r>
          </w:p>
        </w:tc>
      </w:tr>
      <w:tr w:rsidR="007D06B7" w:rsidRPr="00642D18" w14:paraId="3421E8C2" w14:textId="77777777" w:rsidTr="00EC7F83">
        <w:tc>
          <w:tcPr>
            <w:tcW w:w="3402" w:type="dxa"/>
          </w:tcPr>
          <w:p w14:paraId="3C2A5262" w14:textId="497B68F9" w:rsidR="007D06B7" w:rsidRPr="00121C0D" w:rsidRDefault="00DE6885" w:rsidP="004713EE">
            <w:pPr>
              <w:autoSpaceDE w:val="0"/>
              <w:autoSpaceDN w:val="0"/>
              <w:adjustRightInd w:val="0"/>
              <w:outlineLvl w:val="0"/>
              <w:rPr>
                <w:rFonts w:cs="Arial"/>
              </w:rPr>
            </w:pPr>
            <w:r>
              <w:rPr>
                <w:bCs/>
              </w:rPr>
              <w:t>14</w:t>
            </w:r>
            <w:r w:rsidR="002C53DD">
              <w:rPr>
                <w:bCs/>
              </w:rPr>
              <w:t>. August</w:t>
            </w:r>
            <w:r w:rsidR="007D06B7" w:rsidRPr="00121C0D">
              <w:rPr>
                <w:bCs/>
              </w:rPr>
              <w:t xml:space="preserve"> 2023</w:t>
            </w:r>
          </w:p>
        </w:tc>
        <w:tc>
          <w:tcPr>
            <w:tcW w:w="6499" w:type="dxa"/>
          </w:tcPr>
          <w:p w14:paraId="3EA752D7" w14:textId="77777777" w:rsidR="007D06B7" w:rsidRPr="00642D18" w:rsidRDefault="007D06B7" w:rsidP="004713EE">
            <w:pPr>
              <w:pStyle w:val="NurText"/>
              <w:spacing w:line="280" w:lineRule="atLeast"/>
              <w:rPr>
                <w:rFonts w:cs="Arial"/>
              </w:rPr>
            </w:pPr>
            <w:r>
              <w:rPr>
                <w:rFonts w:cs="Arial"/>
              </w:rPr>
              <w:t>2. Lesung Regierungsrat</w:t>
            </w:r>
          </w:p>
        </w:tc>
      </w:tr>
      <w:tr w:rsidR="00DE6885" w:rsidRPr="00642D18" w14:paraId="4ABE1DF8" w14:textId="77777777" w:rsidTr="00096DC4">
        <w:tc>
          <w:tcPr>
            <w:tcW w:w="3402" w:type="dxa"/>
          </w:tcPr>
          <w:p w14:paraId="20966BDE" w14:textId="4C4FD6A4" w:rsidR="00DE6885" w:rsidDel="001D2907" w:rsidRDefault="00DE6885" w:rsidP="004713EE">
            <w:pPr>
              <w:autoSpaceDE w:val="0"/>
              <w:autoSpaceDN w:val="0"/>
              <w:adjustRightInd w:val="0"/>
              <w:outlineLvl w:val="0"/>
              <w:rPr>
                <w:bCs/>
              </w:rPr>
            </w:pPr>
            <w:r>
              <w:rPr>
                <w:bCs/>
              </w:rPr>
              <w:t>31. August 2023</w:t>
            </w:r>
          </w:p>
        </w:tc>
        <w:tc>
          <w:tcPr>
            <w:tcW w:w="6499" w:type="dxa"/>
          </w:tcPr>
          <w:p w14:paraId="45B4F8EB" w14:textId="33FA54EA" w:rsidR="00DE6885" w:rsidRDefault="00DE6885" w:rsidP="004713EE">
            <w:pPr>
              <w:pStyle w:val="NurText"/>
              <w:spacing w:line="280" w:lineRule="atLeast"/>
              <w:rPr>
                <w:rFonts w:cs="Arial"/>
              </w:rPr>
            </w:pPr>
            <w:r>
              <w:rPr>
                <w:rFonts w:cs="Arial"/>
              </w:rPr>
              <w:t>Kommissionsbestellung</w:t>
            </w:r>
          </w:p>
        </w:tc>
      </w:tr>
      <w:tr w:rsidR="007D06B7" w:rsidRPr="00642D18" w14:paraId="231B2A00" w14:textId="77777777" w:rsidTr="00EC7F83">
        <w:tc>
          <w:tcPr>
            <w:tcW w:w="3402" w:type="dxa"/>
          </w:tcPr>
          <w:p w14:paraId="13EB2E79" w14:textId="783B5CBE" w:rsidR="007D06B7" w:rsidRPr="00121C0D" w:rsidRDefault="002C53DD" w:rsidP="004713EE">
            <w:pPr>
              <w:autoSpaceDE w:val="0"/>
              <w:autoSpaceDN w:val="0"/>
              <w:adjustRightInd w:val="0"/>
              <w:outlineLvl w:val="0"/>
              <w:rPr>
                <w:rFonts w:cs="Arial"/>
              </w:rPr>
            </w:pPr>
            <w:r>
              <w:rPr>
                <w:bCs/>
              </w:rPr>
              <w:t xml:space="preserve">September </w:t>
            </w:r>
            <w:r w:rsidR="007D06B7" w:rsidRPr="00121C0D">
              <w:rPr>
                <w:bCs/>
              </w:rPr>
              <w:t>2023</w:t>
            </w:r>
          </w:p>
        </w:tc>
        <w:tc>
          <w:tcPr>
            <w:tcW w:w="6499" w:type="dxa"/>
          </w:tcPr>
          <w:p w14:paraId="4062A32F" w14:textId="1F2ACC50" w:rsidR="007D06B7" w:rsidRDefault="007D06B7" w:rsidP="004713EE">
            <w:pPr>
              <w:pStyle w:val="NurText"/>
              <w:spacing w:line="280" w:lineRule="atLeast"/>
              <w:rPr>
                <w:rFonts w:cs="Arial"/>
              </w:rPr>
            </w:pPr>
            <w:r>
              <w:rPr>
                <w:rFonts w:cs="Arial"/>
              </w:rPr>
              <w:t>Kommissionssitzungen und Bericht</w:t>
            </w:r>
            <w:r w:rsidR="002C53DD">
              <w:rPr>
                <w:rFonts w:cs="Arial"/>
              </w:rPr>
              <w:t>e</w:t>
            </w:r>
          </w:p>
        </w:tc>
      </w:tr>
      <w:tr w:rsidR="007D06B7" w:rsidRPr="00642D18" w14:paraId="03846F76" w14:textId="77777777" w:rsidTr="00EC7F83">
        <w:tc>
          <w:tcPr>
            <w:tcW w:w="3402" w:type="dxa"/>
          </w:tcPr>
          <w:p w14:paraId="270A4CD4" w14:textId="7AB2C122" w:rsidR="001D2907" w:rsidRDefault="00DE6885" w:rsidP="004713EE">
            <w:pPr>
              <w:autoSpaceDE w:val="0"/>
              <w:autoSpaceDN w:val="0"/>
              <w:adjustRightInd w:val="0"/>
              <w:outlineLvl w:val="0"/>
              <w:rPr>
                <w:rFonts w:cs="Arial"/>
              </w:rPr>
            </w:pPr>
            <w:r>
              <w:rPr>
                <w:rFonts w:cs="Arial"/>
              </w:rPr>
              <w:t>26</w:t>
            </w:r>
            <w:r w:rsidR="001D2907">
              <w:rPr>
                <w:rFonts w:cs="Arial"/>
              </w:rPr>
              <w:t xml:space="preserve">. </w:t>
            </w:r>
            <w:r>
              <w:rPr>
                <w:rFonts w:cs="Arial"/>
              </w:rPr>
              <w:t>Oktober</w:t>
            </w:r>
            <w:r w:rsidR="001D2907">
              <w:rPr>
                <w:rFonts w:cs="Arial"/>
              </w:rPr>
              <w:t xml:space="preserve"> 2023</w:t>
            </w:r>
          </w:p>
          <w:p w14:paraId="274F6AE3" w14:textId="6C580EB6" w:rsidR="002C53DD" w:rsidRPr="00121C0D" w:rsidRDefault="00DE6885" w:rsidP="004713EE">
            <w:pPr>
              <w:autoSpaceDE w:val="0"/>
              <w:autoSpaceDN w:val="0"/>
              <w:adjustRightInd w:val="0"/>
              <w:outlineLvl w:val="0"/>
              <w:rPr>
                <w:rFonts w:cs="Arial"/>
              </w:rPr>
            </w:pPr>
            <w:r>
              <w:rPr>
                <w:rFonts w:cs="Arial"/>
              </w:rPr>
              <w:t>25</w:t>
            </w:r>
            <w:r w:rsidR="00BA6EC4">
              <w:rPr>
                <w:rFonts w:cs="Arial"/>
              </w:rPr>
              <w:t xml:space="preserve">. </w:t>
            </w:r>
            <w:r>
              <w:rPr>
                <w:rFonts w:cs="Arial"/>
              </w:rPr>
              <w:t>Januar</w:t>
            </w:r>
            <w:r w:rsidR="00947619">
              <w:rPr>
                <w:rFonts w:cs="Arial"/>
              </w:rPr>
              <w:t xml:space="preserve"> 2024</w:t>
            </w:r>
          </w:p>
        </w:tc>
        <w:tc>
          <w:tcPr>
            <w:tcW w:w="6499" w:type="dxa"/>
          </w:tcPr>
          <w:p w14:paraId="0116B213" w14:textId="77777777" w:rsidR="001D2907" w:rsidRDefault="002C53DD" w:rsidP="004713EE">
            <w:pPr>
              <w:pStyle w:val="NurText"/>
              <w:spacing w:line="280" w:lineRule="atLeast"/>
              <w:rPr>
                <w:rFonts w:cs="Arial"/>
              </w:rPr>
            </w:pPr>
            <w:r>
              <w:rPr>
                <w:rFonts w:cs="Arial"/>
              </w:rPr>
              <w:t>1</w:t>
            </w:r>
            <w:r w:rsidR="001D2907">
              <w:rPr>
                <w:rFonts w:cs="Arial"/>
              </w:rPr>
              <w:t>. Lesung Kantonsrat</w:t>
            </w:r>
          </w:p>
          <w:p w14:paraId="2CC45883" w14:textId="0819A5BA" w:rsidR="002C53DD" w:rsidRPr="00AA1914" w:rsidRDefault="002C53DD" w:rsidP="004713EE">
            <w:pPr>
              <w:pStyle w:val="NurText"/>
              <w:spacing w:line="280" w:lineRule="atLeast"/>
              <w:rPr>
                <w:rFonts w:cs="Arial"/>
              </w:rPr>
            </w:pPr>
            <w:r>
              <w:rPr>
                <w:rFonts w:cs="Arial"/>
              </w:rPr>
              <w:t>2. Lesung Kantonsrat</w:t>
            </w:r>
          </w:p>
        </w:tc>
      </w:tr>
      <w:tr w:rsidR="007D06B7" w:rsidRPr="00642D18" w14:paraId="7ECED200" w14:textId="77777777" w:rsidTr="00EC7F83">
        <w:tc>
          <w:tcPr>
            <w:tcW w:w="3402" w:type="dxa"/>
          </w:tcPr>
          <w:p w14:paraId="0AB4BB7E" w14:textId="76054BD2" w:rsidR="007D06B7" w:rsidRPr="00121C0D" w:rsidRDefault="00DE6885" w:rsidP="004713EE">
            <w:pPr>
              <w:autoSpaceDE w:val="0"/>
              <w:autoSpaceDN w:val="0"/>
              <w:rPr>
                <w:bCs/>
              </w:rPr>
            </w:pPr>
            <w:r>
              <w:rPr>
                <w:bCs/>
              </w:rPr>
              <w:t>1</w:t>
            </w:r>
            <w:r w:rsidR="002C53DD">
              <w:rPr>
                <w:bCs/>
              </w:rPr>
              <w:t xml:space="preserve">. </w:t>
            </w:r>
            <w:r>
              <w:rPr>
                <w:bCs/>
              </w:rPr>
              <w:t>April</w:t>
            </w:r>
            <w:r w:rsidR="007D06B7" w:rsidRPr="00121C0D">
              <w:rPr>
                <w:bCs/>
              </w:rPr>
              <w:t xml:space="preserve"> 2024</w:t>
            </w:r>
          </w:p>
        </w:tc>
        <w:tc>
          <w:tcPr>
            <w:tcW w:w="6499" w:type="dxa"/>
          </w:tcPr>
          <w:p w14:paraId="52897809" w14:textId="77777777" w:rsidR="007D06B7" w:rsidRPr="00AA1914" w:rsidRDefault="007D06B7" w:rsidP="004713EE">
            <w:pPr>
              <w:pStyle w:val="NurText"/>
              <w:spacing w:line="280" w:lineRule="atLeast"/>
              <w:rPr>
                <w:rFonts w:cs="Arial"/>
              </w:rPr>
            </w:pPr>
            <w:r>
              <w:rPr>
                <w:rFonts w:cs="Arial"/>
              </w:rPr>
              <w:t>Ablauf Referendumsfrist</w:t>
            </w:r>
          </w:p>
        </w:tc>
      </w:tr>
      <w:tr w:rsidR="007D06B7" w:rsidRPr="00642D18" w14:paraId="466BA58B" w14:textId="77777777" w:rsidTr="00EC7F83">
        <w:trPr>
          <w:trHeight w:val="50"/>
        </w:trPr>
        <w:tc>
          <w:tcPr>
            <w:tcW w:w="3402" w:type="dxa"/>
          </w:tcPr>
          <w:p w14:paraId="5F5B36F2" w14:textId="77777777" w:rsidR="007D06B7" w:rsidRPr="00121C0D" w:rsidRDefault="007D06B7" w:rsidP="004713EE">
            <w:pPr>
              <w:autoSpaceDE w:val="0"/>
              <w:autoSpaceDN w:val="0"/>
              <w:rPr>
                <w:bCs/>
              </w:rPr>
            </w:pPr>
            <w:r w:rsidRPr="00121C0D">
              <w:rPr>
                <w:bCs/>
              </w:rPr>
              <w:t>1. Januar 2024</w:t>
            </w:r>
          </w:p>
        </w:tc>
        <w:tc>
          <w:tcPr>
            <w:tcW w:w="6499" w:type="dxa"/>
          </w:tcPr>
          <w:p w14:paraId="4957BFF3" w14:textId="77777777" w:rsidR="007D06B7" w:rsidRDefault="007D06B7" w:rsidP="004713EE">
            <w:pPr>
              <w:pStyle w:val="NurText"/>
              <w:spacing w:line="280" w:lineRule="atLeast"/>
              <w:rPr>
                <w:rFonts w:cs="Arial"/>
              </w:rPr>
            </w:pPr>
            <w:r>
              <w:rPr>
                <w:rFonts w:cs="Arial"/>
              </w:rPr>
              <w:t>Inkrafttreten (rückwirkend)</w:t>
            </w:r>
          </w:p>
        </w:tc>
      </w:tr>
    </w:tbl>
    <w:p w14:paraId="2ABA9E4A" w14:textId="55E98D57" w:rsidR="004713EE" w:rsidRDefault="004713EE" w:rsidP="004713EE"/>
    <w:p w14:paraId="7BE024AF" w14:textId="77777777" w:rsidR="00107D9E" w:rsidRDefault="00107D9E" w:rsidP="004713EE"/>
    <w:p w14:paraId="314E5AEE" w14:textId="443AB0D3" w:rsidR="004713EE" w:rsidRPr="00107D9E" w:rsidRDefault="00C50C1E" w:rsidP="00107D9E">
      <w:pPr>
        <w:spacing w:line="240" w:lineRule="auto"/>
      </w:pPr>
      <w:bookmarkStart w:id="18" w:name="_Toc312235258"/>
      <w:bookmarkStart w:id="19" w:name="_Toc312235618"/>
      <w:bookmarkStart w:id="20" w:name="_Toc312235732"/>
      <w:bookmarkStart w:id="21" w:name="_Toc312235846"/>
      <w:bookmarkStart w:id="22" w:name="_Toc312236403"/>
      <w:bookmarkStart w:id="23" w:name="_Toc312237070"/>
      <w:bookmarkStart w:id="24" w:name="_Toc313946494"/>
      <w:r>
        <w:rPr>
          <w:rFonts w:cs="Arial"/>
          <w:b/>
          <w:bCs/>
        </w:rPr>
        <w:t>10</w:t>
      </w:r>
      <w:r w:rsidR="00682F17">
        <w:rPr>
          <w:rFonts w:cs="Arial"/>
          <w:b/>
          <w:bCs/>
        </w:rPr>
        <w:t>.</w:t>
      </w:r>
      <w:r w:rsidR="00682F17">
        <w:rPr>
          <w:rFonts w:cs="Arial"/>
          <w:b/>
          <w:bCs/>
        </w:rPr>
        <w:tab/>
      </w:r>
      <w:r w:rsidR="00576996" w:rsidRPr="00682F17">
        <w:rPr>
          <w:rFonts w:cs="Arial"/>
          <w:b/>
          <w:bCs/>
        </w:rPr>
        <w:t>Antrag</w:t>
      </w:r>
      <w:bookmarkEnd w:id="18"/>
      <w:bookmarkEnd w:id="19"/>
      <w:bookmarkEnd w:id="20"/>
      <w:bookmarkEnd w:id="21"/>
      <w:bookmarkEnd w:id="22"/>
      <w:bookmarkEnd w:id="23"/>
      <w:bookmarkEnd w:id="24"/>
    </w:p>
    <w:p w14:paraId="61C036BE" w14:textId="77777777" w:rsidR="006C27A0" w:rsidRDefault="006C27A0" w:rsidP="004713EE">
      <w:pPr>
        <w:rPr>
          <w:highlight w:val="yellow"/>
        </w:rPr>
      </w:pPr>
    </w:p>
    <w:p w14:paraId="2600F6EF" w14:textId="77777777" w:rsidR="007D06B7" w:rsidRPr="00642D18" w:rsidRDefault="007D06B7" w:rsidP="007D06B7">
      <w:pPr>
        <w:autoSpaceDE w:val="0"/>
        <w:autoSpaceDN w:val="0"/>
        <w:adjustRightInd w:val="0"/>
        <w:rPr>
          <w:rFonts w:cs="Arial"/>
        </w:rPr>
      </w:pPr>
      <w:bookmarkStart w:id="25" w:name="BkMod_007"/>
      <w:bookmarkEnd w:id="7"/>
      <w:r w:rsidRPr="00642D18">
        <w:rPr>
          <w:rFonts w:cs="Arial"/>
        </w:rPr>
        <w:t>Gestützt auf diesen Bericht beantragen wir Ihnen auf die Vorlage Nr. … - … einzutreten und ihr zuzustimmen.</w:t>
      </w:r>
    </w:p>
    <w:p w14:paraId="0E0DF57C" w14:textId="77777777" w:rsidR="007D06B7" w:rsidRPr="007D6433" w:rsidRDefault="007D06B7" w:rsidP="007D06B7">
      <w:pPr>
        <w:autoSpaceDE w:val="0"/>
        <w:autoSpaceDN w:val="0"/>
        <w:adjustRightInd w:val="0"/>
        <w:rPr>
          <w:rFonts w:cs="Arial"/>
        </w:rPr>
      </w:pPr>
    </w:p>
    <w:p w14:paraId="488F5489" w14:textId="77777777" w:rsidR="004713EE" w:rsidRDefault="004713EE" w:rsidP="004713EE"/>
    <w:p w14:paraId="3DAAF857" w14:textId="77777777" w:rsidR="004713EE" w:rsidRPr="007D06B7" w:rsidRDefault="00576996" w:rsidP="004713EE">
      <w:pPr>
        <w:pStyle w:val="StandardNo"/>
      </w:pPr>
      <w:r>
        <w:fldChar w:fldCharType="begin"/>
      </w:r>
      <w:r w:rsidRPr="007D06B7">
        <w:instrText xml:space="preserve"> DOCPROPERTY "Abteilung_Ort" </w:instrText>
      </w:r>
      <w:r>
        <w:fldChar w:fldCharType="separate"/>
      </w:r>
      <w:r w:rsidRPr="007D06B7">
        <w:t>Zug</w:t>
      </w:r>
      <w:r>
        <w:fldChar w:fldCharType="end"/>
      </w:r>
      <w:r w:rsidRPr="007D06B7">
        <w:t xml:space="preserve">, </w:t>
      </w:r>
      <w:r>
        <w:fldChar w:fldCharType="begin"/>
      </w:r>
      <w:r w:rsidRPr="007D06B7">
        <w:instrText xml:space="preserve"> QUOTE " " </w:instrText>
      </w:r>
      <w:r>
        <w:fldChar w:fldCharType="separate"/>
      </w:r>
      <w:r w:rsidRPr="007D06B7">
        <w:t> </w:t>
      </w:r>
      <w:r>
        <w:fldChar w:fldCharType="end"/>
      </w:r>
    </w:p>
    <w:p w14:paraId="63060303" w14:textId="77777777" w:rsidR="004713EE" w:rsidRPr="007D06B7" w:rsidRDefault="004713EE" w:rsidP="004713EE"/>
    <w:p w14:paraId="78AE6905" w14:textId="77777777" w:rsidR="004713EE" w:rsidRDefault="00576996" w:rsidP="004713EE">
      <w:r>
        <w:t>Mit vorzüglicher Hochachtung</w:t>
      </w:r>
    </w:p>
    <w:p w14:paraId="55FFEA56" w14:textId="77777777" w:rsidR="004713EE" w:rsidRDefault="00576996" w:rsidP="004713EE">
      <w:pPr>
        <w:pStyle w:val="Gruss"/>
      </w:pPr>
      <w:r>
        <w:t>Regierungsrat des Kantons Zug</w:t>
      </w:r>
    </w:p>
    <w:p w14:paraId="55CDD974" w14:textId="77777777" w:rsidR="004713EE" w:rsidRDefault="004713EE" w:rsidP="004713EE">
      <w:pPr>
        <w:pStyle w:val="Gruss"/>
      </w:pPr>
    </w:p>
    <w:p w14:paraId="551C2CC7" w14:textId="63898DD9" w:rsidR="004713EE" w:rsidRDefault="00576996" w:rsidP="004713EE">
      <w:pPr>
        <w:pStyle w:val="Gruss"/>
        <w:tabs>
          <w:tab w:val="left" w:pos="5726"/>
        </w:tabs>
      </w:pPr>
      <w:r>
        <w:t>D</w:t>
      </w:r>
      <w:r w:rsidR="00F2739D">
        <w:t>ie Frau</w:t>
      </w:r>
      <w:r>
        <w:t xml:space="preserve"> Landammann:</w:t>
      </w:r>
      <w:r w:rsidR="00285813">
        <w:t xml:space="preserve"> Silvia Thalmann-Gut</w:t>
      </w:r>
    </w:p>
    <w:p w14:paraId="34EEAEE0" w14:textId="77777777" w:rsidR="004713EE" w:rsidRDefault="004713EE" w:rsidP="004713EE">
      <w:pPr>
        <w:pStyle w:val="Gruss"/>
      </w:pPr>
    </w:p>
    <w:p w14:paraId="43B7A662" w14:textId="77777777" w:rsidR="004713EE" w:rsidRDefault="00576996" w:rsidP="004713EE">
      <w:pPr>
        <w:pStyle w:val="Gruss"/>
      </w:pPr>
      <w:r>
        <w:t>Der Landschreiber: Tobias Moser</w:t>
      </w:r>
    </w:p>
    <w:p w14:paraId="7776E3BA" w14:textId="77777777" w:rsidR="004713EE" w:rsidRDefault="004713EE" w:rsidP="004713EE">
      <w:pPr>
        <w:pStyle w:val="Gruss"/>
      </w:pPr>
    </w:p>
    <w:p w14:paraId="270B4684" w14:textId="77777777" w:rsidR="004713EE" w:rsidRDefault="004713EE" w:rsidP="004713EE">
      <w:bookmarkStart w:id="26" w:name="BkMod_008"/>
      <w:bookmarkEnd w:id="25"/>
    </w:p>
    <w:p w14:paraId="769CF7D0" w14:textId="2BB58981" w:rsidR="004713EE" w:rsidRPr="007D06B7" w:rsidRDefault="00576996" w:rsidP="004713EE">
      <w:r w:rsidRPr="007D06B7">
        <w:t xml:space="preserve">Beilage: </w:t>
      </w:r>
    </w:p>
    <w:p w14:paraId="533F7566" w14:textId="1A9E5A1C" w:rsidR="004713EE" w:rsidRDefault="00CB6815" w:rsidP="00EA1885">
      <w:r w:rsidRPr="00107D9E">
        <w:rPr>
          <w:rFonts w:cs="Arial"/>
        </w:rPr>
        <w:t>Syno</w:t>
      </w:r>
      <w:r w:rsidR="00107D9E" w:rsidRPr="00107D9E">
        <w:rPr>
          <w:rFonts w:cs="Arial"/>
        </w:rPr>
        <w:t>pse</w:t>
      </w:r>
      <w:bookmarkEnd w:id="26"/>
    </w:p>
    <w:sectPr w:rsidR="004713EE" w:rsidSect="00FE4B41">
      <w:headerReference w:type="even" r:id="rId8"/>
      <w:headerReference w:type="default" r:id="rId9"/>
      <w:headerReference w:type="first" r:id="rId10"/>
      <w:type w:val="continuous"/>
      <w:pgSz w:w="11906" w:h="16838" w:code="9"/>
      <w:pgMar w:top="567" w:right="907" w:bottom="567" w:left="1985" w:header="567"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60009" w16cex:dateUtc="2023-02-14T11:41:00Z"/>
  <w16cex:commentExtensible w16cex:durableId="279744E7" w16cex:dateUtc="2023-02-15T10:47:00Z"/>
  <w16cex:commentExtensible w16cex:durableId="2798893A" w16cex:dateUtc="2023-02-16T09:51:00Z"/>
  <w16cex:commentExtensible w16cex:durableId="27977F3D" w16cex:dateUtc="2023-02-15T14:56:00Z"/>
  <w16cex:commentExtensible w16cex:durableId="27962DF9" w16cex:dateUtc="2023-02-14T14:57:00Z"/>
  <w16cex:commentExtensible w16cex:durableId="279751F9" w16cex:dateUtc="2023-02-15T11:43:00Z"/>
  <w16cex:commentExtensible w16cex:durableId="279750F8" w16cex:dateUtc="2023-02-15T11:39:00Z"/>
  <w16cex:commentExtensible w16cex:durableId="27962549" w16cex:dateUtc="2023-02-14T14:20:00Z"/>
  <w16cex:commentExtensible w16cex:durableId="27976B0B" w16cex:dateUtc="2023-02-15T13:30:00Z"/>
  <w16cex:commentExtensible w16cex:durableId="2797ADE3" w16cex:dateUtc="2023-02-15T18:15:00Z"/>
  <w16cex:commentExtensible w16cex:durableId="27975501" w16cex:dateUtc="2023-02-15T11:56:00Z"/>
  <w16cex:commentExtensible w16cex:durableId="279627A8" w16cex:dateUtc="2023-02-14T14:30:00Z"/>
  <w16cex:commentExtensible w16cex:durableId="27977DB2" w16cex:dateUtc="2023-02-15T14:50:00Z"/>
  <w16cex:commentExtensible w16cex:durableId="2799B61B" w16cex:dateUtc="2023-02-17T07:15:00Z"/>
  <w16cex:commentExtensible w16cex:durableId="279781DF" w16cex:dateUtc="2023-02-15T15:07:00Z"/>
  <w16cex:commentExtensible w16cex:durableId="2799B772" w16cex:dateUtc="2023-02-17T07:21:00Z"/>
  <w16cex:commentExtensible w16cex:durableId="279794ED" w16cex:dateUtc="2023-02-15T16:29:00Z"/>
  <w16cex:commentExtensible w16cex:durableId="27979853" w16cex:dateUtc="2023-02-15T16:43:00Z"/>
  <w16cex:commentExtensible w16cex:durableId="27979AFB" w16cex:dateUtc="2023-02-15T16:55:00Z"/>
  <w16cex:commentExtensible w16cex:durableId="27979A65" w16cex:dateUtc="2023-02-15T16:52:00Z"/>
  <w16cex:commentExtensible w16cex:durableId="27979B47" w16cex:dateUtc="2023-02-15T16:56:00Z"/>
  <w16cex:commentExtensible w16cex:durableId="27962B5F" w16cex:dateUtc="2023-02-14T14:46:00Z"/>
  <w16cex:commentExtensible w16cex:durableId="27979D22" w16cex:dateUtc="2023-02-15T17:04:00Z"/>
  <w16cex:commentExtensible w16cex:durableId="279A0E6D" w16cex:dateUtc="2023-02-17T13:32:00Z"/>
  <w16cex:commentExtensible w16cex:durableId="2797A65D" w16cex:dateUtc="2023-02-15T17:43:00Z"/>
  <w16cex:commentExtensible w16cex:durableId="2797A6EA" w16cex:dateUtc="2023-02-15T1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7A6A0" w14:textId="77777777" w:rsidR="00186907" w:rsidRDefault="00186907">
      <w:pPr>
        <w:spacing w:line="240" w:lineRule="auto"/>
      </w:pPr>
      <w:r>
        <w:separator/>
      </w:r>
    </w:p>
  </w:endnote>
  <w:endnote w:type="continuationSeparator" w:id="0">
    <w:p w14:paraId="2F33606D" w14:textId="77777777" w:rsidR="00186907" w:rsidRDefault="00186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02512" w14:textId="77777777" w:rsidR="00186907" w:rsidRDefault="00186907">
      <w:pPr>
        <w:spacing w:line="240" w:lineRule="auto"/>
      </w:pPr>
      <w:r>
        <w:separator/>
      </w:r>
    </w:p>
  </w:footnote>
  <w:footnote w:type="continuationSeparator" w:id="0">
    <w:p w14:paraId="6CBEB09A" w14:textId="77777777" w:rsidR="00186907" w:rsidRDefault="00186907">
      <w:pPr>
        <w:spacing w:line="240" w:lineRule="auto"/>
      </w:pPr>
      <w:r>
        <w:continuationSeparator/>
      </w:r>
    </w:p>
  </w:footnote>
  <w:footnote w:id="1">
    <w:p w14:paraId="137850C4" w14:textId="77777777" w:rsidR="005824D1" w:rsidRPr="00B67708" w:rsidRDefault="005824D1" w:rsidP="007D06B7">
      <w:pPr>
        <w:pStyle w:val="Funotentext"/>
        <w:ind w:left="284" w:hanging="284"/>
        <w:rPr>
          <w:sz w:val="16"/>
          <w:szCs w:val="16"/>
          <w:lang w:val="de-DE"/>
        </w:rPr>
      </w:pPr>
      <w:r w:rsidRPr="00B67708">
        <w:rPr>
          <w:rStyle w:val="Funotenzeichen"/>
          <w:sz w:val="16"/>
          <w:szCs w:val="16"/>
        </w:rPr>
        <w:footnoteRef/>
      </w:r>
      <w:r w:rsidRPr="00B67708">
        <w:rPr>
          <w:sz w:val="16"/>
          <w:szCs w:val="16"/>
          <w:lang w:val="de-CH"/>
        </w:rPr>
        <w:t xml:space="preserve"> </w:t>
      </w:r>
      <w:r w:rsidRPr="00B67708">
        <w:rPr>
          <w:sz w:val="16"/>
          <w:szCs w:val="16"/>
          <w:lang w:val="de-CH"/>
        </w:rPr>
        <w:tab/>
      </w:r>
      <w:r w:rsidRPr="00B67708">
        <w:rPr>
          <w:smallCaps/>
          <w:sz w:val="16"/>
          <w:szCs w:val="16"/>
          <w:lang w:val="de-CH"/>
        </w:rPr>
        <w:t>Kaufmann Mathias</w:t>
      </w:r>
      <w:r w:rsidRPr="00B67708">
        <w:rPr>
          <w:sz w:val="16"/>
          <w:szCs w:val="16"/>
          <w:lang w:val="de-CH"/>
        </w:rPr>
        <w:t xml:space="preserve">: Die Hochschulautonomie, in: Jusletter vom 16.September 2019; S. 4f. </w:t>
      </w:r>
    </w:p>
  </w:footnote>
  <w:footnote w:id="2">
    <w:p w14:paraId="09BF26E1" w14:textId="77777777" w:rsidR="005824D1" w:rsidRPr="00B67708" w:rsidRDefault="005824D1" w:rsidP="007D06B7">
      <w:pPr>
        <w:pStyle w:val="Funotentext"/>
        <w:ind w:left="284" w:hanging="284"/>
        <w:rPr>
          <w:sz w:val="16"/>
          <w:szCs w:val="16"/>
          <w:lang w:val="de-CH"/>
        </w:rPr>
      </w:pPr>
      <w:r w:rsidRPr="00B67708">
        <w:rPr>
          <w:rStyle w:val="Funotenzeichen"/>
          <w:sz w:val="16"/>
          <w:szCs w:val="16"/>
        </w:rPr>
        <w:footnoteRef/>
      </w:r>
      <w:r w:rsidRPr="00B67708">
        <w:rPr>
          <w:sz w:val="16"/>
          <w:szCs w:val="16"/>
          <w:lang w:val="de-CH"/>
        </w:rPr>
        <w:t xml:space="preserve"> </w:t>
      </w:r>
      <w:r w:rsidRPr="00B67708">
        <w:rPr>
          <w:sz w:val="16"/>
          <w:szCs w:val="16"/>
          <w:lang w:val="de-CH"/>
        </w:rPr>
        <w:tab/>
      </w:r>
      <w:r w:rsidRPr="00B67708">
        <w:rPr>
          <w:smallCaps/>
          <w:sz w:val="16"/>
          <w:szCs w:val="16"/>
          <w:lang w:val="de-CH"/>
        </w:rPr>
        <w:t>Kaufmann</w:t>
      </w:r>
      <w:r w:rsidRPr="00B67708">
        <w:rPr>
          <w:sz w:val="16"/>
          <w:szCs w:val="16"/>
          <w:lang w:val="de-CH"/>
        </w:rPr>
        <w:t>, 2019, S. 8 (Fn.</w:t>
      </w:r>
      <w:r>
        <w:rPr>
          <w:sz w:val="16"/>
          <w:szCs w:val="16"/>
          <w:lang w:val="de-CH"/>
        </w:rPr>
        <w:t xml:space="preserve"> </w:t>
      </w:r>
      <w:r w:rsidRPr="00B67708">
        <w:rPr>
          <w:sz w:val="16"/>
          <w:szCs w:val="16"/>
          <w:lang w:val="de-CH"/>
        </w:rPr>
        <w:t>1).</w:t>
      </w:r>
    </w:p>
  </w:footnote>
  <w:footnote w:id="3">
    <w:p w14:paraId="054337A5" w14:textId="77777777" w:rsidR="005824D1" w:rsidRPr="00B67708" w:rsidRDefault="005824D1" w:rsidP="007D06B7">
      <w:pPr>
        <w:pStyle w:val="Funotentext"/>
        <w:ind w:left="284" w:hanging="284"/>
        <w:rPr>
          <w:sz w:val="16"/>
          <w:szCs w:val="16"/>
          <w:lang w:val="de-CH"/>
        </w:rPr>
      </w:pPr>
      <w:r w:rsidRPr="00B67708">
        <w:rPr>
          <w:rStyle w:val="Funotenzeichen"/>
          <w:sz w:val="16"/>
          <w:szCs w:val="16"/>
        </w:rPr>
        <w:footnoteRef/>
      </w:r>
      <w:r w:rsidRPr="00B67708">
        <w:rPr>
          <w:sz w:val="16"/>
          <w:szCs w:val="16"/>
          <w:lang w:val="de-CH"/>
        </w:rPr>
        <w:t xml:space="preserve"> </w:t>
      </w:r>
      <w:r w:rsidRPr="00B67708">
        <w:rPr>
          <w:sz w:val="16"/>
          <w:szCs w:val="16"/>
          <w:lang w:val="de-CH"/>
        </w:rPr>
        <w:tab/>
        <w:t>Exemplarisch a.a.O.</w:t>
      </w:r>
    </w:p>
  </w:footnote>
  <w:footnote w:id="4">
    <w:p w14:paraId="7EBA675D" w14:textId="2DB8D3A5" w:rsidR="005824D1" w:rsidRPr="003F7BA6" w:rsidRDefault="005824D1" w:rsidP="007D06B7">
      <w:pPr>
        <w:pStyle w:val="Funotentext"/>
        <w:rPr>
          <w:lang w:val="de-DE"/>
        </w:rPr>
      </w:pPr>
      <w:r>
        <w:rPr>
          <w:rStyle w:val="Funotenzeichen"/>
        </w:rPr>
        <w:footnoteRef/>
      </w:r>
      <w:r w:rsidRPr="00C4535C">
        <w:rPr>
          <w:lang w:val="de-CH"/>
        </w:rPr>
        <w:t xml:space="preserve"> </w:t>
      </w:r>
      <w:r w:rsidRPr="00CB7BB1">
        <w:rPr>
          <w:lang w:val="de-CH"/>
        </w:rPr>
        <w:t xml:space="preserve">Qualifikationsrahmen für den schweizerischen Hochschulbereich, 2009, S. 23f, abrufbar unter </w:t>
      </w:r>
      <w:hyperlink r:id="rId1" w:history="1">
        <w:r w:rsidRPr="00CB7BB1">
          <w:rPr>
            <w:rStyle w:val="Hyperlink"/>
            <w:lang w:val="de-CH"/>
          </w:rPr>
          <w:t>https://www.swissuniversities.ch/fileadmin/swissuniversities/Dokumente/Lehre/NQR/nqf-ch-HS-d.pdf</w:t>
        </w:r>
      </w:hyperlink>
      <w:r>
        <w:rPr>
          <w:rStyle w:val="Hyperlink"/>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5824D1" w14:paraId="29B45A29" w14:textId="77777777">
      <w:trPr>
        <w:trHeight w:val="454"/>
      </w:trPr>
      <w:tc>
        <w:tcPr>
          <w:tcW w:w="2148" w:type="dxa"/>
        </w:tcPr>
        <w:p w14:paraId="6EC4C3E6" w14:textId="77777777" w:rsidR="005824D1" w:rsidRDefault="005824D1" w:rsidP="004713EE">
          <w:pPr>
            <w:pStyle w:val="Kopfzeile"/>
          </w:pPr>
        </w:p>
      </w:tc>
      <w:tc>
        <w:tcPr>
          <w:tcW w:w="2341" w:type="dxa"/>
        </w:tcPr>
        <w:p w14:paraId="0D9C4E03" w14:textId="77777777" w:rsidR="005824D1" w:rsidRDefault="005824D1" w:rsidP="004713EE">
          <w:pPr>
            <w:pStyle w:val="Kopfzeile"/>
            <w:jc w:val="right"/>
          </w:pPr>
        </w:p>
      </w:tc>
      <w:tc>
        <w:tcPr>
          <w:tcW w:w="4510" w:type="dxa"/>
          <w:gridSpan w:val="2"/>
        </w:tcPr>
        <w:p w14:paraId="40697B84" w14:textId="77777777" w:rsidR="005824D1" w:rsidRDefault="005824D1" w:rsidP="004713EE">
          <w:pPr>
            <w:pStyle w:val="Kopfzeile"/>
          </w:pPr>
        </w:p>
      </w:tc>
    </w:tr>
    <w:tr w:rsidR="005824D1" w:rsidRPr="00FE4B41" w14:paraId="3388803F" w14:textId="77777777">
      <w:trPr>
        <w:trHeight w:val="510"/>
      </w:trPr>
      <w:tc>
        <w:tcPr>
          <w:tcW w:w="2148" w:type="dxa"/>
        </w:tcPr>
        <w:p w14:paraId="06F39D42" w14:textId="77777777" w:rsidR="005824D1" w:rsidRDefault="005824D1" w:rsidP="004713EE">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3</w:t>
          </w:r>
          <w:r>
            <w:fldChar w:fldCharType="end"/>
          </w:r>
        </w:p>
      </w:tc>
      <w:tc>
        <w:tcPr>
          <w:tcW w:w="2341" w:type="dxa"/>
        </w:tcPr>
        <w:p w14:paraId="4AE48F98" w14:textId="5784E546" w:rsidR="005824D1" w:rsidRPr="00302D9C" w:rsidRDefault="005824D1" w:rsidP="004713EE">
          <w:pPr>
            <w:pStyle w:val="Kopfzeile"/>
            <w:jc w:val="right"/>
            <w:rPr>
              <w:lang w:val="en-US"/>
            </w:rPr>
          </w:pPr>
          <w:r w:rsidRPr="00EE4CFC">
            <w:fldChar w:fldCharType="begin"/>
          </w:r>
          <w:r w:rsidRPr="00302D9C">
            <w:rPr>
              <w:lang w:val="en-US"/>
            </w:rPr>
            <w:instrText xml:space="preserve"> REF BkmVorlagenNR</w:instrText>
          </w:r>
          <w:r w:rsidRPr="00EE4CFC">
            <w:fldChar w:fldCharType="separate"/>
          </w:r>
          <w:r>
            <w:t>Nr. </w:t>
          </w:r>
          <w:r w:rsidRPr="00EE4CFC">
            <w:fldChar w:fldCharType="end"/>
          </w:r>
        </w:p>
      </w:tc>
      <w:tc>
        <w:tcPr>
          <w:tcW w:w="2255" w:type="dxa"/>
        </w:tcPr>
        <w:p w14:paraId="3D6590E9" w14:textId="4691974D" w:rsidR="005824D1" w:rsidRPr="00302D9C" w:rsidRDefault="005824D1" w:rsidP="004713EE">
          <w:pPr>
            <w:pStyle w:val="Kopfzeile"/>
            <w:rPr>
              <w:lang w:val="en-US"/>
            </w:rPr>
          </w:pPr>
          <w:r w:rsidRPr="00302D9C">
            <w:rPr>
              <w:lang w:val="en-US"/>
            </w:rPr>
            <w:t xml:space="preserve">- </w:t>
          </w:r>
          <w:r w:rsidRPr="00EE4CFC">
            <w:fldChar w:fldCharType="begin"/>
          </w:r>
          <w:r w:rsidRPr="00302D9C">
            <w:rPr>
              <w:lang w:val="en-US"/>
            </w:rPr>
            <w:instrText xml:space="preserve"> REF BkmLaufNR</w:instrText>
          </w:r>
          <w:r w:rsidRPr="00EE4CFC">
            <w:fldChar w:fldCharType="separate"/>
          </w:r>
          <w:r>
            <w:t>Nr. </w:t>
          </w:r>
          <w:r w:rsidRPr="00EE4CFC">
            <w:fldChar w:fldCharType="end"/>
          </w:r>
        </w:p>
      </w:tc>
      <w:tc>
        <w:tcPr>
          <w:tcW w:w="2255" w:type="dxa"/>
        </w:tcPr>
        <w:p w14:paraId="7C751A8D" w14:textId="77777777" w:rsidR="005824D1" w:rsidRPr="00302D9C" w:rsidRDefault="005824D1" w:rsidP="004713EE">
          <w:pPr>
            <w:pStyle w:val="Kopfzeilerechts"/>
            <w:rPr>
              <w:lang w:val="en-US"/>
            </w:rPr>
          </w:pPr>
        </w:p>
      </w:tc>
    </w:tr>
  </w:tbl>
  <w:p w14:paraId="16ACAF74" w14:textId="77777777" w:rsidR="005824D1" w:rsidRPr="00302D9C" w:rsidRDefault="005824D1" w:rsidP="004713EE">
    <w:pPr>
      <w:pStyle w:val="Kopfzeile"/>
      <w:spacing w:line="240" w:lineRule="auto"/>
      <w:rPr>
        <w:sz w:val="2"/>
        <w:szCs w:val="2"/>
        <w:lang w:val="en-US"/>
      </w:rPr>
    </w:pPr>
  </w:p>
  <w:p w14:paraId="79D3C250" w14:textId="77777777" w:rsidR="005824D1" w:rsidRPr="00302D9C" w:rsidRDefault="005824D1">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5824D1" w14:paraId="53D70C64" w14:textId="77777777">
      <w:trPr>
        <w:trHeight w:val="454"/>
      </w:trPr>
      <w:tc>
        <w:tcPr>
          <w:tcW w:w="2148" w:type="dxa"/>
        </w:tcPr>
        <w:p w14:paraId="64BA7780" w14:textId="77777777" w:rsidR="005824D1" w:rsidRDefault="005824D1" w:rsidP="004713EE">
          <w:pPr>
            <w:pStyle w:val="Kopfzeile"/>
          </w:pPr>
        </w:p>
      </w:tc>
      <w:tc>
        <w:tcPr>
          <w:tcW w:w="2341" w:type="dxa"/>
        </w:tcPr>
        <w:p w14:paraId="60874C1B" w14:textId="77777777" w:rsidR="005824D1" w:rsidRDefault="005824D1" w:rsidP="004713EE">
          <w:pPr>
            <w:pStyle w:val="Kopfzeile"/>
            <w:jc w:val="right"/>
          </w:pPr>
        </w:p>
      </w:tc>
      <w:tc>
        <w:tcPr>
          <w:tcW w:w="4510" w:type="dxa"/>
          <w:gridSpan w:val="2"/>
        </w:tcPr>
        <w:p w14:paraId="417F8325" w14:textId="77777777" w:rsidR="005824D1" w:rsidRDefault="005824D1" w:rsidP="004713EE">
          <w:pPr>
            <w:pStyle w:val="Kopfzeile"/>
          </w:pPr>
        </w:p>
      </w:tc>
    </w:tr>
    <w:tr w:rsidR="005824D1" w14:paraId="6B7A948C" w14:textId="77777777">
      <w:trPr>
        <w:trHeight w:val="510"/>
      </w:trPr>
      <w:tc>
        <w:tcPr>
          <w:tcW w:w="2148" w:type="dxa"/>
        </w:tcPr>
        <w:p w14:paraId="7C032C05" w14:textId="77777777" w:rsidR="005824D1" w:rsidRDefault="005824D1" w:rsidP="004713EE">
          <w:pPr>
            <w:pStyle w:val="Kopfzeile"/>
          </w:pPr>
        </w:p>
      </w:tc>
      <w:tc>
        <w:tcPr>
          <w:tcW w:w="2341" w:type="dxa"/>
        </w:tcPr>
        <w:p w14:paraId="20BCB7E6" w14:textId="46D624DF" w:rsidR="005824D1" w:rsidRPr="00302D9C" w:rsidRDefault="005824D1" w:rsidP="004713EE">
          <w:pPr>
            <w:pStyle w:val="Kopfzeile"/>
            <w:jc w:val="right"/>
            <w:rPr>
              <w:lang w:val="en-US"/>
            </w:rPr>
          </w:pPr>
          <w:r w:rsidRPr="00EE4CFC">
            <w:fldChar w:fldCharType="begin"/>
          </w:r>
          <w:r w:rsidRPr="00302D9C">
            <w:rPr>
              <w:lang w:val="en-US"/>
            </w:rPr>
            <w:instrText xml:space="preserve"> REF BkmVorlagenNR</w:instrText>
          </w:r>
          <w:r w:rsidRPr="00EE4CFC">
            <w:fldChar w:fldCharType="separate"/>
          </w:r>
          <w:r>
            <w:t>Nr. </w:t>
          </w:r>
          <w:r w:rsidRPr="00EE4CFC">
            <w:fldChar w:fldCharType="end"/>
          </w:r>
        </w:p>
      </w:tc>
      <w:tc>
        <w:tcPr>
          <w:tcW w:w="2255" w:type="dxa"/>
        </w:tcPr>
        <w:p w14:paraId="02E7C49B" w14:textId="17D10970" w:rsidR="005824D1" w:rsidRPr="00302D9C" w:rsidRDefault="005824D1" w:rsidP="004713EE">
          <w:pPr>
            <w:pStyle w:val="Kopfzeile"/>
            <w:rPr>
              <w:lang w:val="en-US"/>
            </w:rPr>
          </w:pPr>
          <w:r w:rsidRPr="00302D9C">
            <w:rPr>
              <w:lang w:val="en-US"/>
            </w:rPr>
            <w:t xml:space="preserve">- </w:t>
          </w:r>
          <w:r w:rsidRPr="00EE4CFC">
            <w:fldChar w:fldCharType="begin"/>
          </w:r>
          <w:r w:rsidRPr="00302D9C">
            <w:rPr>
              <w:lang w:val="en-US"/>
            </w:rPr>
            <w:instrText xml:space="preserve"> REF BkmLaufNR</w:instrText>
          </w:r>
          <w:r w:rsidRPr="00EE4CFC">
            <w:fldChar w:fldCharType="separate"/>
          </w:r>
          <w:r>
            <w:t>Nr. </w:t>
          </w:r>
          <w:r w:rsidRPr="00EE4CFC">
            <w:fldChar w:fldCharType="end"/>
          </w:r>
        </w:p>
      </w:tc>
      <w:tc>
        <w:tcPr>
          <w:tcW w:w="2255" w:type="dxa"/>
        </w:tcPr>
        <w:p w14:paraId="106E1DD1" w14:textId="77777777" w:rsidR="005824D1" w:rsidRPr="00B466E1" w:rsidRDefault="005824D1" w:rsidP="004713EE">
          <w:pPr>
            <w:pStyle w:val="Kopfzeile"/>
            <w:jc w:val="right"/>
          </w:pPr>
          <w:r>
            <w:t xml:space="preserve">Seite </w:t>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58A1A37D" w14:textId="77777777" w:rsidR="005824D1" w:rsidRPr="007958AE" w:rsidRDefault="005824D1" w:rsidP="004713EE">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BAF4" w14:textId="77777777" w:rsidR="005824D1" w:rsidRDefault="005824D1" w:rsidP="004713EE">
    <w:pPr>
      <w:pStyle w:val="Blindzeile"/>
    </w:pPr>
    <w:r>
      <w:drawing>
        <wp:anchor distT="0" distB="0" distL="114300" distR="114300" simplePos="0" relativeHeight="251658240" behindDoc="0" locked="1" layoutInCell="1" allowOverlap="1" wp14:anchorId="5E5157D2" wp14:editId="71A2F405">
          <wp:simplePos x="0" y="0"/>
          <wp:positionH relativeFrom="page">
            <wp:posOffset>431800</wp:posOffset>
          </wp:positionH>
          <wp:positionV relativeFrom="page">
            <wp:posOffset>180340</wp:posOffset>
          </wp:positionV>
          <wp:extent cx="1986915" cy="694690"/>
          <wp:effectExtent l="0" t="0" r="0" b="0"/>
          <wp:wrapNone/>
          <wp:docPr id="1025"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BA8582E"/>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05525D8A"/>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32D01390"/>
    <w:multiLevelType w:val="hybridMultilevel"/>
    <w:tmpl w:val="1A5A744E"/>
    <w:lvl w:ilvl="0" w:tplc="77E28120">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8826DAC"/>
    <w:multiLevelType w:val="hybridMultilevel"/>
    <w:tmpl w:val="0926489A"/>
    <w:lvl w:ilvl="0" w:tplc="1C0C5370">
      <w:start w:val="2"/>
      <w:numFmt w:val="bullet"/>
      <w:lvlText w:val="-"/>
      <w:lvlJc w:val="left"/>
      <w:pPr>
        <w:ind w:left="502" w:hanging="360"/>
      </w:pPr>
      <w:rPr>
        <w:rFonts w:ascii="Arial" w:eastAsia="Times New Roman" w:hAnsi="Arial" w:cs="Arial" w:hint="default"/>
      </w:rPr>
    </w:lvl>
    <w:lvl w:ilvl="1" w:tplc="5B148010" w:tentative="1">
      <w:start w:val="1"/>
      <w:numFmt w:val="bullet"/>
      <w:lvlText w:val="o"/>
      <w:lvlJc w:val="left"/>
      <w:pPr>
        <w:ind w:left="1440" w:hanging="360"/>
      </w:pPr>
      <w:rPr>
        <w:rFonts w:ascii="Courier New" w:hAnsi="Courier New" w:cs="Courier New" w:hint="default"/>
      </w:rPr>
    </w:lvl>
    <w:lvl w:ilvl="2" w:tplc="85D83DC4" w:tentative="1">
      <w:start w:val="1"/>
      <w:numFmt w:val="bullet"/>
      <w:lvlText w:val=""/>
      <w:lvlJc w:val="left"/>
      <w:pPr>
        <w:ind w:left="2160" w:hanging="360"/>
      </w:pPr>
      <w:rPr>
        <w:rFonts w:ascii="Wingdings" w:hAnsi="Wingdings" w:hint="default"/>
      </w:rPr>
    </w:lvl>
    <w:lvl w:ilvl="3" w:tplc="F68E5562" w:tentative="1">
      <w:start w:val="1"/>
      <w:numFmt w:val="bullet"/>
      <w:lvlText w:val=""/>
      <w:lvlJc w:val="left"/>
      <w:pPr>
        <w:ind w:left="2880" w:hanging="360"/>
      </w:pPr>
      <w:rPr>
        <w:rFonts w:ascii="Symbol" w:hAnsi="Symbol" w:hint="default"/>
      </w:rPr>
    </w:lvl>
    <w:lvl w:ilvl="4" w:tplc="E052295E" w:tentative="1">
      <w:start w:val="1"/>
      <w:numFmt w:val="bullet"/>
      <w:lvlText w:val="o"/>
      <w:lvlJc w:val="left"/>
      <w:pPr>
        <w:ind w:left="3600" w:hanging="360"/>
      </w:pPr>
      <w:rPr>
        <w:rFonts w:ascii="Courier New" w:hAnsi="Courier New" w:cs="Courier New" w:hint="default"/>
      </w:rPr>
    </w:lvl>
    <w:lvl w:ilvl="5" w:tplc="64BE6A30" w:tentative="1">
      <w:start w:val="1"/>
      <w:numFmt w:val="bullet"/>
      <w:lvlText w:val=""/>
      <w:lvlJc w:val="left"/>
      <w:pPr>
        <w:ind w:left="4320" w:hanging="360"/>
      </w:pPr>
      <w:rPr>
        <w:rFonts w:ascii="Wingdings" w:hAnsi="Wingdings" w:hint="default"/>
      </w:rPr>
    </w:lvl>
    <w:lvl w:ilvl="6" w:tplc="4A24B586" w:tentative="1">
      <w:start w:val="1"/>
      <w:numFmt w:val="bullet"/>
      <w:lvlText w:val=""/>
      <w:lvlJc w:val="left"/>
      <w:pPr>
        <w:ind w:left="5040" w:hanging="360"/>
      </w:pPr>
      <w:rPr>
        <w:rFonts w:ascii="Symbol" w:hAnsi="Symbol" w:hint="default"/>
      </w:rPr>
    </w:lvl>
    <w:lvl w:ilvl="7" w:tplc="6504D51C" w:tentative="1">
      <w:start w:val="1"/>
      <w:numFmt w:val="bullet"/>
      <w:lvlText w:val="o"/>
      <w:lvlJc w:val="left"/>
      <w:pPr>
        <w:ind w:left="5760" w:hanging="360"/>
      </w:pPr>
      <w:rPr>
        <w:rFonts w:ascii="Courier New" w:hAnsi="Courier New" w:cs="Courier New" w:hint="default"/>
      </w:rPr>
    </w:lvl>
    <w:lvl w:ilvl="8" w:tplc="0DB8BB8A" w:tentative="1">
      <w:start w:val="1"/>
      <w:numFmt w:val="bullet"/>
      <w:lvlText w:val=""/>
      <w:lvlJc w:val="left"/>
      <w:pPr>
        <w:ind w:left="6480" w:hanging="360"/>
      </w:pPr>
      <w:rPr>
        <w:rFonts w:ascii="Wingdings" w:hAnsi="Wingdings" w:hint="default"/>
      </w:rPr>
    </w:lvl>
  </w:abstractNum>
  <w:abstractNum w:abstractNumId="6" w15:restartNumberingAfterBreak="0">
    <w:nsid w:val="506F74AB"/>
    <w:multiLevelType w:val="hybridMultilevel"/>
    <w:tmpl w:val="FE604E34"/>
    <w:lvl w:ilvl="0" w:tplc="08070011">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A9D043AA">
      <w:numFmt w:val="bullet"/>
      <w:lvlText w:val="-"/>
      <w:lvlJc w:val="left"/>
      <w:pPr>
        <w:ind w:left="2880" w:hanging="360"/>
      </w:pPr>
      <w:rPr>
        <w:rFonts w:ascii="Arial" w:eastAsia="Calibri" w:hAnsi="Arial" w:cs="Arial"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230539A"/>
    <w:multiLevelType w:val="hybridMultilevel"/>
    <w:tmpl w:val="F77C15E6"/>
    <w:lvl w:ilvl="0" w:tplc="776CF5E4">
      <w:numFmt w:val="bullet"/>
      <w:lvlText w:val="-"/>
      <w:lvlJc w:val="left"/>
      <w:pPr>
        <w:ind w:left="720" w:hanging="360"/>
      </w:pPr>
      <w:rPr>
        <w:rFonts w:ascii="Arial" w:eastAsia="Times New Roman" w:hAnsi="Arial" w:cs="Arial" w:hint="default"/>
        <w:b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A4C6E31"/>
    <w:multiLevelType w:val="multilevel"/>
    <w:tmpl w:val="772A1C3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A7D2FBD"/>
    <w:multiLevelType w:val="hybridMultilevel"/>
    <w:tmpl w:val="3E665F6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62A10B0D"/>
    <w:multiLevelType w:val="multilevel"/>
    <w:tmpl w:val="FF8AE76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num>
  <w:num w:numId="3">
    <w:abstractNumId w:val="3"/>
  </w:num>
  <w:num w:numId="4">
    <w:abstractNumId w:val="2"/>
  </w:num>
  <w:num w:numId="5">
    <w:abstractNumId w:val="1"/>
  </w:num>
  <w:num w:numId="6">
    <w:abstractNumId w:val="8"/>
  </w:num>
  <w:num w:numId="7">
    <w:abstractNumId w:val="5"/>
  </w:num>
  <w:num w:numId="8">
    <w:abstractNumId w:val="6"/>
  </w:num>
  <w:num w:numId="9">
    <w:abstractNumId w:val="4"/>
  </w:num>
  <w:num w:numId="10">
    <w:abstractNumId w:val="9"/>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D00EED"/>
    <w:rsid w:val="0000195A"/>
    <w:rsid w:val="000043CD"/>
    <w:rsid w:val="00024286"/>
    <w:rsid w:val="000267A1"/>
    <w:rsid w:val="00033A76"/>
    <w:rsid w:val="000549CC"/>
    <w:rsid w:val="00055FB4"/>
    <w:rsid w:val="000569D9"/>
    <w:rsid w:val="00057940"/>
    <w:rsid w:val="000656BE"/>
    <w:rsid w:val="000754FB"/>
    <w:rsid w:val="00096DC4"/>
    <w:rsid w:val="00097425"/>
    <w:rsid w:val="000A69EE"/>
    <w:rsid w:val="000B0879"/>
    <w:rsid w:val="000C1A1E"/>
    <w:rsid w:val="000C1A62"/>
    <w:rsid w:val="000C34E0"/>
    <w:rsid w:val="000C45E1"/>
    <w:rsid w:val="000C65C3"/>
    <w:rsid w:val="000D2678"/>
    <w:rsid w:val="000D4044"/>
    <w:rsid w:val="000D6916"/>
    <w:rsid w:val="000F12D5"/>
    <w:rsid w:val="000F4106"/>
    <w:rsid w:val="00107D9E"/>
    <w:rsid w:val="00122DF7"/>
    <w:rsid w:val="00123CEB"/>
    <w:rsid w:val="00127248"/>
    <w:rsid w:val="0012745A"/>
    <w:rsid w:val="00130F2E"/>
    <w:rsid w:val="00143588"/>
    <w:rsid w:val="00146B6F"/>
    <w:rsid w:val="00153A79"/>
    <w:rsid w:val="00186907"/>
    <w:rsid w:val="00186A70"/>
    <w:rsid w:val="001902A2"/>
    <w:rsid w:val="001B66C2"/>
    <w:rsid w:val="001C315D"/>
    <w:rsid w:val="001D2907"/>
    <w:rsid w:val="001D6E1A"/>
    <w:rsid w:val="001D757C"/>
    <w:rsid w:val="001E5D1D"/>
    <w:rsid w:val="001F24DE"/>
    <w:rsid w:val="00201890"/>
    <w:rsid w:val="0020265C"/>
    <w:rsid w:val="00203FFF"/>
    <w:rsid w:val="0021384B"/>
    <w:rsid w:val="00215B04"/>
    <w:rsid w:val="00222C39"/>
    <w:rsid w:val="002262F5"/>
    <w:rsid w:val="00234E7A"/>
    <w:rsid w:val="00256701"/>
    <w:rsid w:val="002674EE"/>
    <w:rsid w:val="0028556C"/>
    <w:rsid w:val="00285813"/>
    <w:rsid w:val="00297597"/>
    <w:rsid w:val="002A0BCB"/>
    <w:rsid w:val="002A4DB2"/>
    <w:rsid w:val="002B228D"/>
    <w:rsid w:val="002B3DC8"/>
    <w:rsid w:val="002C53DD"/>
    <w:rsid w:val="002C5710"/>
    <w:rsid w:val="002D227E"/>
    <w:rsid w:val="002D2B99"/>
    <w:rsid w:val="002E080A"/>
    <w:rsid w:val="002E6740"/>
    <w:rsid w:val="002F6761"/>
    <w:rsid w:val="00302D9C"/>
    <w:rsid w:val="0031040F"/>
    <w:rsid w:val="00327AAC"/>
    <w:rsid w:val="00331B60"/>
    <w:rsid w:val="0033537E"/>
    <w:rsid w:val="00352DD1"/>
    <w:rsid w:val="00360855"/>
    <w:rsid w:val="00361AC0"/>
    <w:rsid w:val="00382438"/>
    <w:rsid w:val="00382E91"/>
    <w:rsid w:val="0039024B"/>
    <w:rsid w:val="00391FB0"/>
    <w:rsid w:val="003B26FD"/>
    <w:rsid w:val="003C14C1"/>
    <w:rsid w:val="003D1ABB"/>
    <w:rsid w:val="003D4329"/>
    <w:rsid w:val="003D6D83"/>
    <w:rsid w:val="003D78BF"/>
    <w:rsid w:val="00435E3E"/>
    <w:rsid w:val="0044419F"/>
    <w:rsid w:val="0044618E"/>
    <w:rsid w:val="004504E5"/>
    <w:rsid w:val="00452EDC"/>
    <w:rsid w:val="004551AC"/>
    <w:rsid w:val="0045697A"/>
    <w:rsid w:val="004713EE"/>
    <w:rsid w:val="00472648"/>
    <w:rsid w:val="00474A07"/>
    <w:rsid w:val="004770BE"/>
    <w:rsid w:val="004807B0"/>
    <w:rsid w:val="00484569"/>
    <w:rsid w:val="0049369F"/>
    <w:rsid w:val="004B38C4"/>
    <w:rsid w:val="004B72D8"/>
    <w:rsid w:val="004C5496"/>
    <w:rsid w:val="004C5593"/>
    <w:rsid w:val="004F6C34"/>
    <w:rsid w:val="005121D2"/>
    <w:rsid w:val="005203E6"/>
    <w:rsid w:val="0053636A"/>
    <w:rsid w:val="00540D6E"/>
    <w:rsid w:val="00540FAF"/>
    <w:rsid w:val="005414F6"/>
    <w:rsid w:val="005463FC"/>
    <w:rsid w:val="005652E2"/>
    <w:rsid w:val="005657B3"/>
    <w:rsid w:val="00571C27"/>
    <w:rsid w:val="0057550A"/>
    <w:rsid w:val="00576996"/>
    <w:rsid w:val="005824D1"/>
    <w:rsid w:val="00587879"/>
    <w:rsid w:val="005A041E"/>
    <w:rsid w:val="005B36BC"/>
    <w:rsid w:val="005B4EFB"/>
    <w:rsid w:val="005D1BF7"/>
    <w:rsid w:val="005D1C6F"/>
    <w:rsid w:val="005D7616"/>
    <w:rsid w:val="005E0329"/>
    <w:rsid w:val="005E605E"/>
    <w:rsid w:val="005F181B"/>
    <w:rsid w:val="00615E4D"/>
    <w:rsid w:val="006165A2"/>
    <w:rsid w:val="00624FF9"/>
    <w:rsid w:val="006651B4"/>
    <w:rsid w:val="0068213C"/>
    <w:rsid w:val="00682F17"/>
    <w:rsid w:val="00685573"/>
    <w:rsid w:val="00687B52"/>
    <w:rsid w:val="006902E4"/>
    <w:rsid w:val="00690B88"/>
    <w:rsid w:val="00692D81"/>
    <w:rsid w:val="006A0C6A"/>
    <w:rsid w:val="006C003B"/>
    <w:rsid w:val="006C1BBD"/>
    <w:rsid w:val="006C27A0"/>
    <w:rsid w:val="006D0DB2"/>
    <w:rsid w:val="006E0C26"/>
    <w:rsid w:val="007202C4"/>
    <w:rsid w:val="00724F92"/>
    <w:rsid w:val="007367BB"/>
    <w:rsid w:val="00760A6D"/>
    <w:rsid w:val="00783376"/>
    <w:rsid w:val="007967EE"/>
    <w:rsid w:val="00797D3C"/>
    <w:rsid w:val="007C507D"/>
    <w:rsid w:val="007C524A"/>
    <w:rsid w:val="007D06B7"/>
    <w:rsid w:val="007E24CB"/>
    <w:rsid w:val="007E6776"/>
    <w:rsid w:val="007E789E"/>
    <w:rsid w:val="007F4EF0"/>
    <w:rsid w:val="00805881"/>
    <w:rsid w:val="00806349"/>
    <w:rsid w:val="008141ED"/>
    <w:rsid w:val="00814E52"/>
    <w:rsid w:val="00815866"/>
    <w:rsid w:val="008177A5"/>
    <w:rsid w:val="00824E14"/>
    <w:rsid w:val="00846689"/>
    <w:rsid w:val="0085161F"/>
    <w:rsid w:val="008544C8"/>
    <w:rsid w:val="0085673E"/>
    <w:rsid w:val="0087184D"/>
    <w:rsid w:val="00881767"/>
    <w:rsid w:val="00885D51"/>
    <w:rsid w:val="008A017B"/>
    <w:rsid w:val="008B7C69"/>
    <w:rsid w:val="008C4077"/>
    <w:rsid w:val="008C57F4"/>
    <w:rsid w:val="008E3B87"/>
    <w:rsid w:val="008E715C"/>
    <w:rsid w:val="00905BD3"/>
    <w:rsid w:val="00907DED"/>
    <w:rsid w:val="00911873"/>
    <w:rsid w:val="00922447"/>
    <w:rsid w:val="00923AA9"/>
    <w:rsid w:val="009367CF"/>
    <w:rsid w:val="0094329B"/>
    <w:rsid w:val="00947619"/>
    <w:rsid w:val="009558C8"/>
    <w:rsid w:val="00955AA8"/>
    <w:rsid w:val="00965BAA"/>
    <w:rsid w:val="00966DEA"/>
    <w:rsid w:val="00975FF7"/>
    <w:rsid w:val="00991B42"/>
    <w:rsid w:val="009A437A"/>
    <w:rsid w:val="009A57F6"/>
    <w:rsid w:val="009B6FB2"/>
    <w:rsid w:val="009B78C0"/>
    <w:rsid w:val="009C2EBC"/>
    <w:rsid w:val="009D0554"/>
    <w:rsid w:val="009D1048"/>
    <w:rsid w:val="009D513E"/>
    <w:rsid w:val="009F05AB"/>
    <w:rsid w:val="009F2897"/>
    <w:rsid w:val="009F5C47"/>
    <w:rsid w:val="00A03ED1"/>
    <w:rsid w:val="00A120FA"/>
    <w:rsid w:val="00A126BF"/>
    <w:rsid w:val="00A12867"/>
    <w:rsid w:val="00A16F8F"/>
    <w:rsid w:val="00A206A3"/>
    <w:rsid w:val="00A37C28"/>
    <w:rsid w:val="00A40D77"/>
    <w:rsid w:val="00A40F1F"/>
    <w:rsid w:val="00A43F59"/>
    <w:rsid w:val="00A729F3"/>
    <w:rsid w:val="00A92B58"/>
    <w:rsid w:val="00AB16E0"/>
    <w:rsid w:val="00AB4FF1"/>
    <w:rsid w:val="00AC5DD1"/>
    <w:rsid w:val="00AE2520"/>
    <w:rsid w:val="00B11889"/>
    <w:rsid w:val="00B155C4"/>
    <w:rsid w:val="00B15F18"/>
    <w:rsid w:val="00B26D13"/>
    <w:rsid w:val="00B42FF4"/>
    <w:rsid w:val="00B74487"/>
    <w:rsid w:val="00B909F6"/>
    <w:rsid w:val="00B94A91"/>
    <w:rsid w:val="00BA6EC4"/>
    <w:rsid w:val="00BB4178"/>
    <w:rsid w:val="00BB79BB"/>
    <w:rsid w:val="00BC5616"/>
    <w:rsid w:val="00BD064B"/>
    <w:rsid w:val="00BD4042"/>
    <w:rsid w:val="00BD638C"/>
    <w:rsid w:val="00BE3EE4"/>
    <w:rsid w:val="00BF024E"/>
    <w:rsid w:val="00BF4C4D"/>
    <w:rsid w:val="00BF5D62"/>
    <w:rsid w:val="00BF711E"/>
    <w:rsid w:val="00C00311"/>
    <w:rsid w:val="00C03168"/>
    <w:rsid w:val="00C10BBA"/>
    <w:rsid w:val="00C13C6C"/>
    <w:rsid w:val="00C16BC2"/>
    <w:rsid w:val="00C34B94"/>
    <w:rsid w:val="00C50C1E"/>
    <w:rsid w:val="00C6188C"/>
    <w:rsid w:val="00C75AB1"/>
    <w:rsid w:val="00C95955"/>
    <w:rsid w:val="00C97F3D"/>
    <w:rsid w:val="00CA043F"/>
    <w:rsid w:val="00CA5ADD"/>
    <w:rsid w:val="00CA716A"/>
    <w:rsid w:val="00CB32A8"/>
    <w:rsid w:val="00CB6815"/>
    <w:rsid w:val="00CC3F6E"/>
    <w:rsid w:val="00CE4868"/>
    <w:rsid w:val="00CF01ED"/>
    <w:rsid w:val="00CF5C34"/>
    <w:rsid w:val="00D00EED"/>
    <w:rsid w:val="00D52672"/>
    <w:rsid w:val="00D53BAF"/>
    <w:rsid w:val="00D57A56"/>
    <w:rsid w:val="00D717AB"/>
    <w:rsid w:val="00D71D16"/>
    <w:rsid w:val="00D7698B"/>
    <w:rsid w:val="00D8101C"/>
    <w:rsid w:val="00D82003"/>
    <w:rsid w:val="00D825C9"/>
    <w:rsid w:val="00D82DDE"/>
    <w:rsid w:val="00D91908"/>
    <w:rsid w:val="00D96AF2"/>
    <w:rsid w:val="00DA0E29"/>
    <w:rsid w:val="00DA32F1"/>
    <w:rsid w:val="00DA5A9E"/>
    <w:rsid w:val="00DB7BFB"/>
    <w:rsid w:val="00DD4D0D"/>
    <w:rsid w:val="00DE26CA"/>
    <w:rsid w:val="00DE618D"/>
    <w:rsid w:val="00DE6885"/>
    <w:rsid w:val="00DF55E7"/>
    <w:rsid w:val="00E125F9"/>
    <w:rsid w:val="00E24B82"/>
    <w:rsid w:val="00E31E81"/>
    <w:rsid w:val="00E35401"/>
    <w:rsid w:val="00E41056"/>
    <w:rsid w:val="00E44693"/>
    <w:rsid w:val="00E462B8"/>
    <w:rsid w:val="00E50733"/>
    <w:rsid w:val="00E561A2"/>
    <w:rsid w:val="00E729FA"/>
    <w:rsid w:val="00E73431"/>
    <w:rsid w:val="00E75649"/>
    <w:rsid w:val="00E76318"/>
    <w:rsid w:val="00E85CA5"/>
    <w:rsid w:val="00E965EF"/>
    <w:rsid w:val="00EA1885"/>
    <w:rsid w:val="00EA1F8A"/>
    <w:rsid w:val="00EC1478"/>
    <w:rsid w:val="00EC7F83"/>
    <w:rsid w:val="00EE033F"/>
    <w:rsid w:val="00EE36D5"/>
    <w:rsid w:val="00EE40AA"/>
    <w:rsid w:val="00EE6B9C"/>
    <w:rsid w:val="00EF3838"/>
    <w:rsid w:val="00EF78E3"/>
    <w:rsid w:val="00F00B90"/>
    <w:rsid w:val="00F14E3A"/>
    <w:rsid w:val="00F23B71"/>
    <w:rsid w:val="00F2429F"/>
    <w:rsid w:val="00F2739D"/>
    <w:rsid w:val="00F33EE1"/>
    <w:rsid w:val="00F36D86"/>
    <w:rsid w:val="00F454F0"/>
    <w:rsid w:val="00F47AEB"/>
    <w:rsid w:val="00F5195D"/>
    <w:rsid w:val="00F53C56"/>
    <w:rsid w:val="00F6252A"/>
    <w:rsid w:val="00F74D8E"/>
    <w:rsid w:val="00FA31C2"/>
    <w:rsid w:val="00FB393C"/>
    <w:rsid w:val="00FB7ED5"/>
    <w:rsid w:val="00FD3078"/>
    <w:rsid w:val="00FD4B58"/>
    <w:rsid w:val="00FE10C3"/>
    <w:rsid w:val="00FE2C56"/>
    <w:rsid w:val="00FE4B41"/>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5CED77"/>
  <w15:docId w15:val="{A3037A1E-2E7B-44A4-96B7-4EA9DD8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D29DD"/>
    <w:pPr>
      <w:spacing w:line="280" w:lineRule="atLeast"/>
    </w:pPr>
    <w:rPr>
      <w:rFonts w:ascii="Arial" w:hAnsi="Arial"/>
      <w:spacing w:val="6"/>
    </w:rPr>
  </w:style>
  <w:style w:type="paragraph" w:styleId="berschrift1">
    <w:name w:val="heading 1"/>
    <w:basedOn w:val="Standard"/>
    <w:next w:val="Textkrper"/>
    <w:qFormat/>
    <w:rsid w:val="00B2645D"/>
    <w:pPr>
      <w:keepNext/>
      <w:numPr>
        <w:numId w:val="6"/>
      </w:numPr>
      <w:outlineLvl w:val="0"/>
    </w:pPr>
    <w:rPr>
      <w:rFonts w:cs="Arial"/>
      <w:b/>
      <w:bCs/>
    </w:rPr>
  </w:style>
  <w:style w:type="paragraph" w:styleId="berschrift2">
    <w:name w:val="heading 2"/>
    <w:basedOn w:val="berschrift1"/>
    <w:next w:val="Textkrper"/>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3"/>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uiPriority w:val="99"/>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4"/>
      </w:numPr>
    </w:pPr>
  </w:style>
  <w:style w:type="paragraph" w:customStyle="1" w:styleId="Nummerierung3">
    <w:name w:val="Nummerierung 3"/>
    <w:basedOn w:val="Standard"/>
    <w:rsid w:val="00797655"/>
    <w:pPr>
      <w:numPr>
        <w:numId w:val="5"/>
      </w:numPr>
    </w:pPr>
  </w:style>
  <w:style w:type="table" w:styleId="Tabellenraster">
    <w:name w:val="Table Grid"/>
    <w:basedOn w:val="NormaleTabelle"/>
    <w:uiPriority w:val="39"/>
    <w:rsid w:val="00A17D5A"/>
    <w:pPr>
      <w:spacing w:line="280" w:lineRule="atLeast"/>
    </w:pPr>
    <w:tblPr>
      <w:tblCellMar>
        <w:left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styleId="KeinLeerraum">
    <w:name w:val="No Spacing"/>
    <w:uiPriority w:val="1"/>
    <w:semiHidden/>
    <w:rsid w:val="009815FE"/>
    <w:rPr>
      <w:rFonts w:ascii="Arial" w:hAnsi="Arial"/>
      <w:spacing w:val="6"/>
    </w:rPr>
  </w:style>
  <w:style w:type="paragraph" w:styleId="Untertitel">
    <w:name w:val="Subtitle"/>
    <w:basedOn w:val="Standard"/>
    <w:next w:val="Standard"/>
    <w:link w:val="UntertitelZchn"/>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styleId="SchwacheHervorhebung">
    <w:name w:val="Subtle Emphasis"/>
    <w:uiPriority w:val="19"/>
    <w:semiHidden/>
    <w:rsid w:val="009815FE"/>
    <w:rPr>
      <w:i/>
      <w:iCs/>
      <w:color w:val="808080"/>
    </w:rPr>
  </w:style>
  <w:style w:type="character" w:styleId="Hervorhebung">
    <w:name w:val="Emphasis"/>
    <w:semiHidden/>
    <w:rsid w:val="009815FE"/>
    <w:rPr>
      <w:i/>
      <w:iCs/>
    </w:rPr>
  </w:style>
  <w:style w:type="character" w:styleId="IntensiveHervorhebung">
    <w:name w:val="Intense Emphasis"/>
    <w:uiPriority w:val="21"/>
    <w:semiHidden/>
    <w:rsid w:val="009815FE"/>
    <w:rPr>
      <w:b/>
      <w:bCs/>
      <w:i/>
      <w:iCs/>
      <w:color w:val="4F81BD"/>
    </w:rPr>
  </w:style>
  <w:style w:type="character" w:styleId="Fett">
    <w:name w:val="Strong"/>
    <w:semiHidden/>
    <w:rsid w:val="009815FE"/>
    <w:rPr>
      <w:b/>
      <w:bCs/>
    </w:rPr>
  </w:style>
  <w:style w:type="paragraph" w:styleId="Zitat">
    <w:name w:val="Quote"/>
    <w:basedOn w:val="Standard"/>
    <w:next w:val="Standard"/>
    <w:link w:val="ZitatZchn"/>
    <w:uiPriority w:val="29"/>
    <w:semiHidden/>
    <w:rsid w:val="009815FE"/>
    <w:rPr>
      <w:i/>
      <w:iCs/>
      <w:color w:val="000000"/>
    </w:rPr>
  </w:style>
  <w:style w:type="character" w:customStyle="1" w:styleId="ZitatZchn">
    <w:name w:val="Zitat Zchn"/>
    <w:link w:val="Zitat"/>
    <w:uiPriority w:val="29"/>
    <w:rsid w:val="009815FE"/>
    <w:rPr>
      <w:rFonts w:ascii="Arial" w:hAnsi="Arial"/>
      <w:i/>
      <w:iCs/>
      <w:color w:val="000000"/>
      <w:spacing w:val="6"/>
    </w:rPr>
  </w:style>
  <w:style w:type="paragraph" w:styleId="IntensivesZitat">
    <w:name w:val="Intense Quote"/>
    <w:basedOn w:val="Standard"/>
    <w:next w:val="Standard"/>
    <w:link w:val="IntensivesZitatZchn"/>
    <w:uiPriority w:val="30"/>
    <w:semiHidden/>
    <w:rsid w:val="009815FE"/>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815FE"/>
    <w:rPr>
      <w:rFonts w:ascii="Arial" w:hAnsi="Arial"/>
      <w:b/>
      <w:bCs/>
      <w:i/>
      <w:iCs/>
      <w:color w:val="4F81BD"/>
      <w:spacing w:val="6"/>
    </w:rPr>
  </w:style>
  <w:style w:type="character" w:styleId="SchwacherVerweis">
    <w:name w:val="Subtle Reference"/>
    <w:uiPriority w:val="31"/>
    <w:semiHidden/>
    <w:rsid w:val="009815FE"/>
    <w:rPr>
      <w:smallCaps/>
      <w:color w:val="C0504D"/>
      <w:u w:val="single"/>
    </w:rPr>
  </w:style>
  <w:style w:type="character" w:styleId="IntensiverVerweis">
    <w:name w:val="Intense Reference"/>
    <w:uiPriority w:val="32"/>
    <w:semiHidden/>
    <w:rsid w:val="009815FE"/>
    <w:rPr>
      <w:b/>
      <w:bCs/>
      <w:smallCaps/>
      <w:color w:val="C0504D"/>
      <w:spacing w:val="5"/>
      <w:u w:val="single"/>
    </w:rPr>
  </w:style>
  <w:style w:type="character" w:styleId="Buchtitel">
    <w:name w:val="Book Title"/>
    <w:uiPriority w:val="33"/>
    <w:semiHidden/>
    <w:rsid w:val="009815FE"/>
    <w:rPr>
      <w:b/>
      <w:bCs/>
      <w:smallCaps/>
      <w:spacing w:val="5"/>
    </w:rPr>
  </w:style>
  <w:style w:type="paragraph" w:styleId="Listenabsatz">
    <w:name w:val="List Paragraph"/>
    <w:basedOn w:val="Standard"/>
    <w:uiPriority w:val="34"/>
    <w:qFormat/>
    <w:rsid w:val="009815FE"/>
    <w:pPr>
      <w:ind w:left="708"/>
    </w:pPr>
  </w:style>
  <w:style w:type="paragraph" w:customStyle="1" w:styleId="VorlageDirektion">
    <w:name w:val="Vorlage Direktion"/>
    <w:basedOn w:val="VorlageLaufnummer"/>
    <w:rPr>
      <w:b w:val="0"/>
    </w:rPr>
  </w:style>
  <w:style w:type="paragraph" w:customStyle="1" w:styleId="VorlageDirektionFett">
    <w:name w:val="Vorlage Direktion Fett"/>
    <w:basedOn w:val="VorlageDirektion"/>
    <w:rPr>
      <w:b/>
    </w:rPr>
  </w:style>
  <w:style w:type="paragraph" w:styleId="Listennummer">
    <w:name w:val="List Number"/>
    <w:basedOn w:val="Standard"/>
    <w:pPr>
      <w:tabs>
        <w:tab w:val="num" w:pos="360"/>
      </w:tabs>
      <w:ind w:left="360" w:hanging="360"/>
    </w:pPr>
  </w:style>
  <w:style w:type="character" w:styleId="Hyperlink">
    <w:name w:val="Hyperlink"/>
    <w:uiPriority w:val="99"/>
    <w:rsid w:val="007D06B7"/>
    <w:rPr>
      <w:color w:val="0000FF"/>
      <w:u w:val="single"/>
    </w:rPr>
  </w:style>
  <w:style w:type="paragraph" w:styleId="Funotentext">
    <w:name w:val="footnote text"/>
    <w:basedOn w:val="Standard"/>
    <w:link w:val="FunotentextZchn"/>
    <w:uiPriority w:val="99"/>
    <w:semiHidden/>
    <w:unhideWhenUsed/>
    <w:rsid w:val="007D06B7"/>
    <w:pPr>
      <w:spacing w:line="240" w:lineRule="auto"/>
      <w:contextualSpacing/>
    </w:pPr>
    <w:rPr>
      <w:rFonts w:eastAsia="Calibri"/>
      <w:lang w:val="en-US" w:eastAsia="en-US"/>
    </w:rPr>
  </w:style>
  <w:style w:type="character" w:customStyle="1" w:styleId="FunotentextZchn">
    <w:name w:val="Fußnotentext Zchn"/>
    <w:basedOn w:val="Absatz-Standardschriftart"/>
    <w:link w:val="Funotentext"/>
    <w:uiPriority w:val="99"/>
    <w:semiHidden/>
    <w:rsid w:val="007D06B7"/>
    <w:rPr>
      <w:rFonts w:ascii="Arial" w:eastAsia="Calibri" w:hAnsi="Arial"/>
      <w:spacing w:val="6"/>
      <w:lang w:val="en-US" w:eastAsia="en-US"/>
    </w:rPr>
  </w:style>
  <w:style w:type="paragraph" w:customStyle="1" w:styleId="TableContents">
    <w:name w:val="Table Contents"/>
    <w:basedOn w:val="Standard"/>
    <w:rsid w:val="007D06B7"/>
    <w:pPr>
      <w:keepLines/>
      <w:widowControl w:val="0"/>
      <w:suppressLineNumbers/>
      <w:tabs>
        <w:tab w:val="right" w:pos="14854"/>
      </w:tabs>
      <w:spacing w:line="240" w:lineRule="auto"/>
    </w:pPr>
    <w:rPr>
      <w:spacing w:val="0"/>
    </w:rPr>
  </w:style>
  <w:style w:type="character" w:customStyle="1" w:styleId="NurTextZchn">
    <w:name w:val="Nur Text Zchn"/>
    <w:link w:val="NurText"/>
    <w:semiHidden/>
    <w:rsid w:val="007D06B7"/>
    <w:rPr>
      <w:rFonts w:ascii="Arial" w:eastAsia="Calibri" w:hAnsi="Arial"/>
      <w:spacing w:val="6"/>
      <w:szCs w:val="21"/>
      <w:lang w:eastAsia="en-US"/>
    </w:rPr>
  </w:style>
  <w:style w:type="paragraph" w:styleId="NurText">
    <w:name w:val="Plain Text"/>
    <w:basedOn w:val="Standard"/>
    <w:link w:val="NurTextZchn"/>
    <w:semiHidden/>
    <w:rsid w:val="007D06B7"/>
    <w:pPr>
      <w:spacing w:line="240" w:lineRule="auto"/>
    </w:pPr>
    <w:rPr>
      <w:rFonts w:eastAsia="Calibri"/>
      <w:szCs w:val="21"/>
      <w:lang w:eastAsia="en-US"/>
    </w:rPr>
  </w:style>
  <w:style w:type="character" w:customStyle="1" w:styleId="NurTextZchn1">
    <w:name w:val="Nur Text Zchn1"/>
    <w:basedOn w:val="Absatz-Standardschriftart"/>
    <w:semiHidden/>
    <w:rsid w:val="007D06B7"/>
    <w:rPr>
      <w:rFonts w:ascii="Consolas" w:hAnsi="Consolas"/>
      <w:spacing w:val="6"/>
      <w:sz w:val="21"/>
      <w:szCs w:val="21"/>
    </w:rPr>
  </w:style>
  <w:style w:type="character" w:styleId="Kommentarzeichen">
    <w:name w:val="annotation reference"/>
    <w:basedOn w:val="Absatz-Standardschriftart"/>
    <w:semiHidden/>
    <w:unhideWhenUsed/>
    <w:rsid w:val="00A37C28"/>
    <w:rPr>
      <w:sz w:val="16"/>
      <w:szCs w:val="16"/>
    </w:rPr>
  </w:style>
  <w:style w:type="paragraph" w:styleId="Kommentartext">
    <w:name w:val="annotation text"/>
    <w:basedOn w:val="Standard"/>
    <w:link w:val="KommentartextZchn"/>
    <w:unhideWhenUsed/>
    <w:rsid w:val="00A37C28"/>
    <w:pPr>
      <w:spacing w:line="240" w:lineRule="auto"/>
    </w:pPr>
  </w:style>
  <w:style w:type="character" w:customStyle="1" w:styleId="KommentartextZchn">
    <w:name w:val="Kommentartext Zchn"/>
    <w:basedOn w:val="Absatz-Standardschriftart"/>
    <w:link w:val="Kommentartext"/>
    <w:rsid w:val="00A37C28"/>
    <w:rPr>
      <w:rFonts w:ascii="Arial" w:hAnsi="Arial"/>
      <w:spacing w:val="6"/>
    </w:rPr>
  </w:style>
  <w:style w:type="paragraph" w:styleId="Kommentarthema">
    <w:name w:val="annotation subject"/>
    <w:basedOn w:val="Kommentartext"/>
    <w:next w:val="Kommentartext"/>
    <w:link w:val="KommentarthemaZchn"/>
    <w:semiHidden/>
    <w:unhideWhenUsed/>
    <w:rsid w:val="00A37C28"/>
    <w:rPr>
      <w:b/>
      <w:bCs/>
    </w:rPr>
  </w:style>
  <w:style w:type="character" w:customStyle="1" w:styleId="KommentarthemaZchn">
    <w:name w:val="Kommentarthema Zchn"/>
    <w:basedOn w:val="KommentartextZchn"/>
    <w:link w:val="Kommentarthema"/>
    <w:semiHidden/>
    <w:rsid w:val="00A37C28"/>
    <w:rPr>
      <w:rFonts w:ascii="Arial" w:hAnsi="Arial"/>
      <w:b/>
      <w:bCs/>
      <w:spacing w:val="6"/>
    </w:rPr>
  </w:style>
  <w:style w:type="paragraph" w:customStyle="1" w:styleId="xmsonormal">
    <w:name w:val="x_msonormal"/>
    <w:basedOn w:val="Standard"/>
    <w:rsid w:val="007367BB"/>
    <w:pPr>
      <w:spacing w:before="100" w:beforeAutospacing="1" w:after="100" w:afterAutospacing="1" w:line="240" w:lineRule="auto"/>
    </w:pPr>
    <w:rPr>
      <w:rFonts w:ascii="Calibri" w:eastAsiaTheme="minorHAnsi" w:hAnsi="Calibri" w:cs="Calibri"/>
      <w:spacing w:val="0"/>
      <w:sz w:val="22"/>
      <w:szCs w:val="22"/>
    </w:rPr>
  </w:style>
  <w:style w:type="paragraph" w:styleId="berarbeitung">
    <w:name w:val="Revision"/>
    <w:hidden/>
    <w:uiPriority w:val="99"/>
    <w:semiHidden/>
    <w:rsid w:val="00143588"/>
    <w:rPr>
      <w:rFonts w:ascii="Arial" w:hAnsi="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03391">
      <w:bodyDiv w:val="1"/>
      <w:marLeft w:val="0"/>
      <w:marRight w:val="0"/>
      <w:marTop w:val="0"/>
      <w:marBottom w:val="0"/>
      <w:divBdr>
        <w:top w:val="none" w:sz="0" w:space="0" w:color="auto"/>
        <w:left w:val="none" w:sz="0" w:space="0" w:color="auto"/>
        <w:bottom w:val="none" w:sz="0" w:space="0" w:color="auto"/>
        <w:right w:val="none" w:sz="0" w:space="0" w:color="auto"/>
      </w:divBdr>
    </w:div>
    <w:div w:id="1457068999">
      <w:bodyDiv w:val="1"/>
      <w:marLeft w:val="0"/>
      <w:marRight w:val="0"/>
      <w:marTop w:val="0"/>
      <w:marBottom w:val="0"/>
      <w:divBdr>
        <w:top w:val="none" w:sz="0" w:space="0" w:color="auto"/>
        <w:left w:val="none" w:sz="0" w:space="0" w:color="auto"/>
        <w:bottom w:val="none" w:sz="0" w:space="0" w:color="auto"/>
        <w:right w:val="none" w:sz="0" w:space="0" w:color="auto"/>
      </w:divBdr>
    </w:div>
    <w:div w:id="1516578460">
      <w:bodyDiv w:val="1"/>
      <w:marLeft w:val="0"/>
      <w:marRight w:val="0"/>
      <w:marTop w:val="0"/>
      <w:marBottom w:val="0"/>
      <w:divBdr>
        <w:top w:val="none" w:sz="0" w:space="0" w:color="auto"/>
        <w:left w:val="none" w:sz="0" w:space="0" w:color="auto"/>
        <w:bottom w:val="none" w:sz="0" w:space="0" w:color="auto"/>
        <w:right w:val="none" w:sz="0" w:space="0" w:color="auto"/>
      </w:divBdr>
    </w:div>
    <w:div w:id="1763070103">
      <w:bodyDiv w:val="1"/>
      <w:marLeft w:val="0"/>
      <w:marRight w:val="0"/>
      <w:marTop w:val="0"/>
      <w:marBottom w:val="0"/>
      <w:divBdr>
        <w:top w:val="none" w:sz="0" w:space="0" w:color="auto"/>
        <w:left w:val="none" w:sz="0" w:space="0" w:color="auto"/>
        <w:bottom w:val="none" w:sz="0" w:space="0" w:color="auto"/>
        <w:right w:val="none" w:sz="0" w:space="0" w:color="auto"/>
      </w:divBdr>
    </w:div>
    <w:div w:id="1793479350">
      <w:bodyDiv w:val="1"/>
      <w:marLeft w:val="0"/>
      <w:marRight w:val="0"/>
      <w:marTop w:val="0"/>
      <w:marBottom w:val="0"/>
      <w:divBdr>
        <w:top w:val="none" w:sz="0" w:space="0" w:color="auto"/>
        <w:left w:val="none" w:sz="0" w:space="0" w:color="auto"/>
        <w:bottom w:val="none" w:sz="0" w:space="0" w:color="auto"/>
        <w:right w:val="none" w:sz="0" w:space="0" w:color="auto"/>
      </w:divBdr>
    </w:div>
    <w:div w:id="1800610044">
      <w:bodyDiv w:val="1"/>
      <w:marLeft w:val="0"/>
      <w:marRight w:val="0"/>
      <w:marTop w:val="0"/>
      <w:marBottom w:val="0"/>
      <w:divBdr>
        <w:top w:val="none" w:sz="0" w:space="0" w:color="auto"/>
        <w:left w:val="none" w:sz="0" w:space="0" w:color="auto"/>
        <w:bottom w:val="none" w:sz="0" w:space="0" w:color="auto"/>
        <w:right w:val="none" w:sz="0" w:space="0" w:color="auto"/>
      </w:divBdr>
    </w:div>
    <w:div w:id="186682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wissuniversities.ch/fileadmin/swissuniversities/Dokumente/Lehre/NQR/nqf-ch-HS-d.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23117728-F98F-488C-869D-A50816AED885}">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6035</Words>
  <Characters>38021</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Schildknecht</dc:creator>
  <cp:lastModifiedBy>Alexander Lioris</cp:lastModifiedBy>
  <cp:revision>77</cp:revision>
  <cp:lastPrinted>2023-03-01T10:39:00Z</cp:lastPrinted>
  <dcterms:created xsi:type="dcterms:W3CDTF">2023-03-22T09:34:00Z</dcterms:created>
  <dcterms:modified xsi:type="dcterms:W3CDTF">2023-04-04T15:36:00Z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tcg_macroaftertbsupdate">
    <vt:lpwstr>modDocuments.UpdateTBS</vt:lpwstr>
  </property>
  <property fmtid="{D5CDD505-2E9C-101B-9397-08002B2CF9AE}" pid="70" name="tcg_macroprotect">
    <vt:lpwstr>modDocuments.DocumentProtect</vt:lpwstr>
  </property>
  <property fmtid="{D5CDD505-2E9C-101B-9397-08002B2CF9AE}" pid="71" name="tcg_macrounprotect">
    <vt:lpwstr>modDocuments.DocumentUnprotect</vt:lpwstr>
  </property>
  <property fmtid="{D5CDD505-2E9C-101B-9397-08002B2CF9AE}" pid="72" name="direktion_sourceid">
    <vt:lpwstr>1092d623-0ea2-4057-87c3-a7c4862a7c61</vt:lpwstr>
  </property>
  <property fmtid="{D5CDD505-2E9C-101B-9397-08002B2CF9AE}" pid="73" name="direktion_kennung">
    <vt:lpwstr>DBK</vt:lpwstr>
  </property>
  <property fmtid="{D5CDD505-2E9C-101B-9397-08002B2CF9AE}" pid="74" name="direktion_kurzzeichen">
    <vt:lpwstr>DBK</vt:lpwstr>
  </property>
  <property fmtid="{D5CDD505-2E9C-101B-9397-08002B2CF9AE}" pid="75" name="direktion_direktion">
    <vt:lpwstr>Direktion für Bildung und Kultur</vt:lpwstr>
  </property>
  <property fmtid="{D5CDD505-2E9C-101B-9397-08002B2CF9AE}" pid="76" name="amt_sourceid">
    <vt:lpwstr>ca7e8d50-f0e9-4c32-980a-9dcadc11a1e9</vt:lpwstr>
  </property>
  <property fmtid="{D5CDD505-2E9C-101B-9397-08002B2CF9AE}" pid="77" name="amt_direktionid">
    <vt:lpwstr>1092d623-0ea2-4057-87c3-a7c4862a7c61</vt:lpwstr>
  </property>
  <property fmtid="{D5CDD505-2E9C-101B-9397-08002B2CF9AE}" pid="78" name="amt_amt">
    <vt:lpwstr/>
  </property>
  <property fmtid="{D5CDD505-2E9C-101B-9397-08002B2CF9AE}" pid="79" name="amt_description">
    <vt:lpwstr>Direktion für Bildung und Kultur_2</vt:lpwstr>
  </property>
  <property fmtid="{D5CDD505-2E9C-101B-9397-08002B2CF9AE}" pid="80" name="abteilung_description">
    <vt:lpwstr>Direktion für Bildung und Kultur_3</vt:lpwstr>
  </property>
  <property fmtid="{D5CDD505-2E9C-101B-9397-08002B2CF9AE}" pid="81" name="abteilung_sourceid">
    <vt:lpwstr>2b082699-8c4a-41bb-aed1-0feaa0103276</vt:lpwstr>
  </property>
  <property fmtid="{D5CDD505-2E9C-101B-9397-08002B2CF9AE}" pid="82" name="abteilung_amtid">
    <vt:lpwstr>ca7e8d50-f0e9-4c32-980a-9dcadc11a1e9</vt:lpwstr>
  </property>
  <property fmtid="{D5CDD505-2E9C-101B-9397-08002B2CF9AE}" pid="83" name="abteilung_bezeichnungimgruss">
    <vt:lpwstr>Direktion für Bildung und Kultur</vt:lpwstr>
  </property>
  <property fmtid="{D5CDD505-2E9C-101B-9397-08002B2CF9AE}" pid="84" name="abteilung_adresszeile1">
    <vt:lpwstr>Baarerstrasse 21</vt:lpwstr>
  </property>
  <property fmtid="{D5CDD505-2E9C-101B-9397-08002B2CF9AE}" pid="85" name="abteilung_couvert">
    <vt:lpwstr>Direktion für Bildung und Kultur</vt:lpwstr>
  </property>
  <property fmtid="{D5CDD505-2E9C-101B-9397-08002B2CF9AE}" pid="86" name="abteilung_adresszeile2">
    <vt:lpwstr/>
  </property>
  <property fmtid="{D5CDD505-2E9C-101B-9397-08002B2CF9AE}" pid="87" name="abteilung_dienststelle">
    <vt:lpwstr/>
  </property>
  <property fmtid="{D5CDD505-2E9C-101B-9397-08002B2CF9AE}" pid="88" name="abteilung_dienststellezupo">
    <vt:lpwstr/>
  </property>
  <property fmtid="{D5CDD505-2E9C-101B-9397-08002B2CF9AE}" pid="89" name="abteilung_postfach">
    <vt:lpwstr/>
  </property>
  <property fmtid="{D5CDD505-2E9C-101B-9397-08002B2CF9AE}" pid="90" name="abteilung_fachbereich">
    <vt:lpwstr/>
  </property>
  <property fmtid="{D5CDD505-2E9C-101B-9397-08002B2CF9AE}" pid="91" name="abteilung_plzpostfach">
    <vt:lpwstr/>
  </property>
  <property fmtid="{D5CDD505-2E9C-101B-9397-08002B2CF9AE}" pid="92" name="abteilung_abteilungzupo">
    <vt:lpwstr/>
  </property>
  <property fmtid="{D5CDD505-2E9C-101B-9397-08002B2CF9AE}" pid="93" name="abteilung_plz">
    <vt:lpwstr>6300</vt:lpwstr>
  </property>
  <property fmtid="{D5CDD505-2E9C-101B-9397-08002B2CF9AE}" pid="94" name="abteilung_ort">
    <vt:lpwstr>Zug</vt:lpwstr>
  </property>
  <property fmtid="{D5CDD505-2E9C-101B-9397-08002B2CF9AE}" pid="95" name="abteilung_telefon">
    <vt:lpwstr>+41 41 728 31 83</vt:lpwstr>
  </property>
  <property fmtid="{D5CDD505-2E9C-101B-9397-08002B2CF9AE}" pid="96" name="abteilung_telefax">
    <vt:lpwstr/>
  </property>
  <property fmtid="{D5CDD505-2E9C-101B-9397-08002B2CF9AE}" pid="97" name="abteilung_email">
    <vt:lpwstr>info.dbk@zg.ch</vt:lpwstr>
  </property>
  <property fmtid="{D5CDD505-2E9C-101B-9397-08002B2CF9AE}" pid="98" name="abteilung_internet">
    <vt:lpwstr>www.zg.ch/dbk</vt:lpwstr>
  </property>
  <property fmtid="{D5CDD505-2E9C-101B-9397-08002B2CF9AE}" pid="99" name="mitarbeiter_ersteller_sourceid">
    <vt:lpwstr/>
  </property>
  <property fmtid="{D5CDD505-2E9C-101B-9397-08002B2CF9AE}" pid="100" name="mitarbeiter_ersteller_dienstgrad">
    <vt:lpwstr/>
  </property>
  <property fmtid="{D5CDD505-2E9C-101B-9397-08002B2CF9AE}" pid="101" name="mitarbeiter_ersteller_email">
    <vt:lpwstr/>
  </property>
  <property fmtid="{D5CDD505-2E9C-101B-9397-08002B2CF9AE}" pid="102" name="mitarbeiter_ersteller_funktion">
    <vt:lpwstr/>
  </property>
  <property fmtid="{D5CDD505-2E9C-101B-9397-08002B2CF9AE}" pid="103" name="mitarbeiter_ersteller_funktion_user">
    <vt:lpwstr/>
  </property>
  <property fmtid="{D5CDD505-2E9C-101B-9397-08002B2CF9AE}" pid="104" name="mitarbeiter_ersteller_kurzzeichen">
    <vt:lpwstr/>
  </property>
  <property fmtid="{D5CDD505-2E9C-101B-9397-08002B2CF9AE}" pid="105" name="mitarbeiter_ersteller_kurzzeichen_user">
    <vt:lpwstr/>
  </property>
  <property fmtid="{D5CDD505-2E9C-101B-9397-08002B2CF9AE}" pid="106" name="mitarbeiter_ersteller_name">
    <vt:lpwstr/>
  </property>
  <property fmtid="{D5CDD505-2E9C-101B-9397-08002B2CF9AE}" pid="107" name="mitarbeiter_ersteller_personalnummer">
    <vt:lpwstr/>
  </property>
  <property fmtid="{D5CDD505-2E9C-101B-9397-08002B2CF9AE}" pid="108" name="mitarbeiter_ersteller_telefax">
    <vt:lpwstr/>
  </property>
  <property fmtid="{D5CDD505-2E9C-101B-9397-08002B2CF9AE}" pid="109" name="mitarbeiter_ersteller_telefon">
    <vt:lpwstr/>
  </property>
  <property fmtid="{D5CDD505-2E9C-101B-9397-08002B2CF9AE}" pid="110" name="mitarbeiter_ersteller_titel">
    <vt:lpwstr/>
  </property>
  <property fmtid="{D5CDD505-2E9C-101B-9397-08002B2CF9AE}" pid="111" name="mitarbeiter_ersteller_vorname">
    <vt:lpwstr/>
  </property>
  <property fmtid="{D5CDD505-2E9C-101B-9397-08002B2CF9AE}" pid="112" name="mitarbeiter_unterschrift_links_sourceid">
    <vt:lpwstr/>
  </property>
  <property fmtid="{D5CDD505-2E9C-101B-9397-08002B2CF9AE}" pid="113" name="mitarbeiter_unterschrift_links_dienstgrad">
    <vt:lpwstr/>
  </property>
  <property fmtid="{D5CDD505-2E9C-101B-9397-08002B2CF9AE}" pid="114" name="mitarbeiter_unterschrift_links_email">
    <vt:lpwstr/>
  </property>
  <property fmtid="{D5CDD505-2E9C-101B-9397-08002B2CF9AE}" pid="115" name="mitarbeiter_unterschrift_links_funktion">
    <vt:lpwstr/>
  </property>
  <property fmtid="{D5CDD505-2E9C-101B-9397-08002B2CF9AE}" pid="116" name="mitarbeiter_unterschrift_links_funktion_user">
    <vt:lpwstr/>
  </property>
  <property fmtid="{D5CDD505-2E9C-101B-9397-08002B2CF9AE}" pid="117" name="mitarbeiter_unterschrift_links_kurzzeichen">
    <vt:lpwstr/>
  </property>
  <property fmtid="{D5CDD505-2E9C-101B-9397-08002B2CF9AE}" pid="118" name="mitarbeiter_unterschrift_links_kurzzeichen_user">
    <vt:lpwstr/>
  </property>
  <property fmtid="{D5CDD505-2E9C-101B-9397-08002B2CF9AE}" pid="119" name="mitarbeiter_unterschrift_links_name">
    <vt:lpwstr/>
  </property>
  <property fmtid="{D5CDD505-2E9C-101B-9397-08002B2CF9AE}" pid="120" name="mitarbeiter_unterschrift_links_personalnummer">
    <vt:lpwstr/>
  </property>
  <property fmtid="{D5CDD505-2E9C-101B-9397-08002B2CF9AE}" pid="121" name="mitarbeiter_unterschrift_links_telefax">
    <vt:lpwstr/>
  </property>
  <property fmtid="{D5CDD505-2E9C-101B-9397-08002B2CF9AE}" pid="122" name="mitarbeiter_unterschrift_links_telefon">
    <vt:lpwstr/>
  </property>
  <property fmtid="{D5CDD505-2E9C-101B-9397-08002B2CF9AE}" pid="123" name="mitarbeiter_unterschrift_links_titel">
    <vt:lpwstr/>
  </property>
  <property fmtid="{D5CDD505-2E9C-101B-9397-08002B2CF9AE}" pid="124" name="mitarbeiter_unterschrift_links_vorname">
    <vt:lpwstr/>
  </property>
  <property fmtid="{D5CDD505-2E9C-101B-9397-08002B2CF9AE}" pid="125" name="mitarbeiter_unterschrift_rechts_sourceid">
    <vt:lpwstr/>
  </property>
  <property fmtid="{D5CDD505-2E9C-101B-9397-08002B2CF9AE}" pid="126" name="mitarbeiter_unterschrift_rechts_dienstgrad">
    <vt:lpwstr/>
  </property>
  <property fmtid="{D5CDD505-2E9C-101B-9397-08002B2CF9AE}" pid="127" name="mitarbeiter_unterschrift_rechts_email">
    <vt:lpwstr/>
  </property>
  <property fmtid="{D5CDD505-2E9C-101B-9397-08002B2CF9AE}" pid="128" name="mitarbeiter_unterschrift_rechts_funktion">
    <vt:lpwstr/>
  </property>
  <property fmtid="{D5CDD505-2E9C-101B-9397-08002B2CF9AE}" pid="129" name="mitarbeiter_unterschrift_rechts_funktion_user">
    <vt:lpwstr/>
  </property>
  <property fmtid="{D5CDD505-2E9C-101B-9397-08002B2CF9AE}" pid="130" name="mitarbeiter_unterschrift_rechts_kurzzeichen">
    <vt:lpwstr/>
  </property>
  <property fmtid="{D5CDD505-2E9C-101B-9397-08002B2CF9AE}" pid="131" name="mitarbeiter_unterschrift_rechts_kurzzeichen_user">
    <vt:lpwstr/>
  </property>
  <property fmtid="{D5CDD505-2E9C-101B-9397-08002B2CF9AE}" pid="132" name="mitarbeiter_unterschrift_rechts_name">
    <vt:lpwstr/>
  </property>
  <property fmtid="{D5CDD505-2E9C-101B-9397-08002B2CF9AE}" pid="133" name="mitarbeiter_unterschrift_rechts_personalnummer">
    <vt:lpwstr/>
  </property>
  <property fmtid="{D5CDD505-2E9C-101B-9397-08002B2CF9AE}" pid="134" name="mitarbeiter_unterschrift_rechts_telefax">
    <vt:lpwstr/>
  </property>
  <property fmtid="{D5CDD505-2E9C-101B-9397-08002B2CF9AE}" pid="135" name="mitarbeiter_unterschrift_rechts_telefon">
    <vt:lpwstr/>
  </property>
  <property fmtid="{D5CDD505-2E9C-101B-9397-08002B2CF9AE}" pid="136" name="mitarbeiter_unterschrift_rechts_titel">
    <vt:lpwstr/>
  </property>
  <property fmtid="{D5CDD505-2E9C-101B-9397-08002B2CF9AE}" pid="137" name="mitarbeiter_unterschrift_rechts_vorname">
    <vt:lpwstr/>
  </property>
  <property fmtid="{D5CDD505-2E9C-101B-9397-08002B2CF9AE}" pid="138" name="templateid">
    <vt:lpwstr>5c56d0d8-20c1-4eaf-8d8a-164a55cc12d3</vt:lpwstr>
  </property>
  <property fmtid="{D5CDD505-2E9C-101B-9397-08002B2CF9AE}" pid="139" name="templateexternalid">
    <vt:lpwstr>627657d5-2113-4f81-80a8-ebee82c14e65</vt:lpwstr>
  </property>
  <property fmtid="{D5CDD505-2E9C-101B-9397-08002B2CF9AE}" pid="140" name="languagekey">
    <vt:lpwstr>DE</vt:lpwstr>
  </property>
  <property fmtid="{D5CDD505-2E9C-101B-9397-08002B2CF9AE}" pid="141" name="taskpaneguid">
    <vt:lpwstr>5f81377f-57a5-45d6-922f-74ac75f290bf</vt:lpwstr>
  </property>
  <property fmtid="{D5CDD505-2E9C-101B-9397-08002B2CF9AE}" pid="142" name="taskpaneenablemanually">
    <vt:lpwstr>Manually</vt:lpwstr>
  </property>
  <property fmtid="{D5CDD505-2E9C-101B-9397-08002B2CF9AE}" pid="143" name="templatename">
    <vt:lpwstr>KR Bericht und Antrag des Regierungsrates</vt:lpwstr>
  </property>
  <property fmtid="{D5CDD505-2E9C-101B-9397-08002B2CF9AE}" pid="144" name="docugatedocumenthasdatastore">
    <vt:lpwstr>True</vt:lpwstr>
  </property>
  <property fmtid="{D5CDD505-2E9C-101B-9397-08002B2CF9AE}" pid="145" name="templatedisplayname">
    <vt:lpwstr>KR Bericht und Antrag des Regierungsrates</vt:lpwstr>
  </property>
  <property fmtid="{D5CDD505-2E9C-101B-9397-08002B2CF9AE}" pid="146" name="dglogoein">
    <vt:lpwstr>True</vt:lpwstr>
  </property>
  <property fmtid="{D5CDD505-2E9C-101B-9397-08002B2CF9AE}" pid="147" name="metadata_formularnummer">
    <vt:lpwstr/>
  </property>
  <property fmtid="{D5CDD505-2E9C-101B-9397-08002B2CF9AE}" pid="148" name="erste seite">
    <vt:lpwstr>Logo</vt:lpwstr>
  </property>
  <property fmtid="{D5CDD505-2E9C-101B-9397-08002B2CF9AE}" pid="149" name="wplogofolgeseite">
    <vt:lpwstr>Neutral</vt:lpwstr>
  </property>
  <property fmtid="{D5CDD505-2E9C-101B-9397-08002B2CF9AE}" pid="150" name="bkmod_000">
    <vt:lpwstr>b916cb72-c6d4-4e8a-b5bd-2755e91859cc</vt:lpwstr>
  </property>
  <property fmtid="{D5CDD505-2E9C-101B-9397-08002B2CF9AE}" pid="151" name="bkmod_001">
    <vt:lpwstr>524689cc-4bd8-4a0b-b365-bcc8fd024476</vt:lpwstr>
  </property>
  <property fmtid="{D5CDD505-2E9C-101B-9397-08002B2CF9AE}" pid="152" name="bkmod_002">
    <vt:lpwstr>4a86b5b0-6a8f-4dd3-858a-658530d1c734</vt:lpwstr>
  </property>
  <property fmtid="{D5CDD505-2E9C-101B-9397-08002B2CF9AE}" pid="153" name="bkmod_003">
    <vt:lpwstr>793fea21-8963-4f10-9701-ca265394f916</vt:lpwstr>
  </property>
  <property fmtid="{D5CDD505-2E9C-101B-9397-08002B2CF9AE}" pid="154" name="bkmod_004">
    <vt:lpwstr>7109990b-caef-4ee6-a82c-014d6f8c65f4</vt:lpwstr>
  </property>
  <property fmtid="{D5CDD505-2E9C-101B-9397-08002B2CF9AE}" pid="155" name="bkmod_005">
    <vt:lpwstr>1f394617-a6ab-4d72-a03b-f43d52d55043</vt:lpwstr>
  </property>
  <property fmtid="{D5CDD505-2E9C-101B-9397-08002B2CF9AE}" pid="156" name="bkmod_006">
    <vt:lpwstr>d6ea9dd6-743b-43f5-bed9-93bdd29f8c0d</vt:lpwstr>
  </property>
  <property fmtid="{D5CDD505-2E9C-101B-9397-08002B2CF9AE}" pid="157" name="bkmod_007">
    <vt:lpwstr>f8d98c2e-cc69-4fa1-8f15-67f6abc050dc</vt:lpwstr>
  </property>
  <property fmtid="{D5CDD505-2E9C-101B-9397-08002B2CF9AE}" pid="158" name="bkmod_008">
    <vt:lpwstr>ee8e5f44-7362-4fad-addd-a229486e4504</vt:lpwstr>
  </property>
  <property fmtid="{D5CDD505-2E9C-101B-9397-08002B2CF9AE}" pid="159" name="bkmod_009">
    <vt:lpwstr>534ab3f9-5e51-4a18-95db-1933df72be48</vt:lpwstr>
  </property>
  <property fmtid="{D5CDD505-2E9C-101B-9397-08002B2CF9AE}" pid="160" name="tcg_mtc_000">
    <vt:lpwstr>b916cb72-c6d4-4e8a-b5bd-2755e91859cc</vt:lpwstr>
  </property>
  <property fmtid="{D5CDD505-2E9C-101B-9397-08002B2CF9AE}" pid="161" name="tcg_mtc_001">
    <vt:lpwstr>524689cc-4bd8-4a0b-b365-bcc8fd024476</vt:lpwstr>
  </property>
  <property fmtid="{D5CDD505-2E9C-101B-9397-08002B2CF9AE}" pid="162" name="tcg_mtc_002">
    <vt:lpwstr>4a86b5b0-6a8f-4dd3-858a-658530d1c734</vt:lpwstr>
  </property>
  <property fmtid="{D5CDD505-2E9C-101B-9397-08002B2CF9AE}" pid="163" name="tcg_mtc_003">
    <vt:lpwstr>793fea21-8963-4f10-9701-ca265394f916</vt:lpwstr>
  </property>
  <property fmtid="{D5CDD505-2E9C-101B-9397-08002B2CF9AE}" pid="164" name="tcg_mtc_004">
    <vt:lpwstr>7109990b-caef-4ee6-a82c-014d6f8c65f4</vt:lpwstr>
  </property>
  <property fmtid="{D5CDD505-2E9C-101B-9397-08002B2CF9AE}" pid="165" name="tcg_mtc_005">
    <vt:lpwstr>1f394617-a6ab-4d72-a03b-f43d52d55043</vt:lpwstr>
  </property>
  <property fmtid="{D5CDD505-2E9C-101B-9397-08002B2CF9AE}" pid="166" name="tcg_mtc_006">
    <vt:lpwstr>d6ea9dd6-743b-43f5-bed9-93bdd29f8c0d</vt:lpwstr>
  </property>
  <property fmtid="{D5CDD505-2E9C-101B-9397-08002B2CF9AE}" pid="167" name="tcg_mtc_007">
    <vt:lpwstr>f8d98c2e-cc69-4fa1-8f15-67f6abc050dc</vt:lpwstr>
  </property>
  <property fmtid="{D5CDD505-2E9C-101B-9397-08002B2CF9AE}" pid="168" name="tcg_mtc_008">
    <vt:lpwstr>ee8e5f44-7362-4fad-addd-a229486e4504</vt:lpwstr>
  </property>
  <property fmtid="{D5CDD505-2E9C-101B-9397-08002B2CF9AE}" pid="169" name="tcg_mtc_009">
    <vt:lpwstr>534ab3f9-5e51-4a18-95db-1933df72be48</vt:lpwstr>
  </property>
  <property fmtid="{D5CDD505-2E9C-101B-9397-08002B2CF9AE}" pid="170" name="dgworkflowid">
    <vt:lpwstr>135fdbf6-e5de-4729-a9c6-b31bce6a15fb</vt:lpwstr>
  </property>
  <property fmtid="{D5CDD505-2E9C-101B-9397-08002B2CF9AE}" pid="171" name="docugatedocumentversion">
    <vt:lpwstr>5.16.0.1</vt:lpwstr>
  </property>
  <property fmtid="{D5CDD505-2E9C-101B-9397-08002B2CF9AE}" pid="172" name="docugatedocumentcreationpath">
    <vt:lpwstr>C:\Users\SHEN\AppData\Local\Temp\Docugate\Documents\sbwgupa2.docx</vt:lpwstr>
  </property>
  <property fmtid="{D5CDD505-2E9C-101B-9397-08002B2CF9AE}" pid="173" name="DgAlreadyRemovedParagraph">
    <vt:lpwstr>true</vt:lpwstr>
  </property>
  <property fmtid="{D5CDD505-2E9C-101B-9397-08002B2CF9AE}" pid="174" name="Docugate_Makro_DocumentFirstRefresh">
    <vt:lpwstr>Falsch</vt:lpwstr>
  </property>
</Properties>
</file>